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2023/959220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Aydın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Atatürk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Kadın Doğum ve Çocuk Hastalıkları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Germencik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Didim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Çine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Kuşadası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Nazilli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Söke Fehime Faik Kocagöz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Aydın Halk Sağlığı Laboratuvarı</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Köşk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Buharkent İlçe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Kuyucak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Yenipazar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Karpuzlu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Koçarlı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Sultanhisar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Bozdoğan İlçe Devlet Hastanesi</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Nazilli Devlet Hastanesi/Karacasu Ek Bina</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