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46B75">
              <w:trPr>
                <w:trHeight w:val="425"/>
              </w:trPr>
              <w:tc>
                <w:tcPr>
                  <w:tcW w:w="1754" w:type="dxa"/>
                  <w:vMerge w:val="restart"/>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Kapasite Raporu</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E4728E">
                    <w:rPr>
                      <w:rFonts w:eastAsia="Calibri"/>
                      <w:sz w:val="18"/>
                      <w:szCs w:val="18"/>
                      <w:lang w:eastAsia="en-US"/>
                    </w:rPr>
                    <w:t>Düzenleyen Kurum/Kuruluş</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Pr="00D17825" w:rsidRDefault="009E0F1B" w:rsidP="009E0F1B">
                  <w:pPr>
                    <w:rPr>
                      <w:rFonts w:eastAsia="Calibri"/>
                      <w:sz w:val="18"/>
                      <w:szCs w:val="18"/>
                      <w:lang w:eastAsia="en-US"/>
                    </w:rPr>
                  </w:pPr>
                  <w:r w:rsidRPr="00D17825">
                    <w:rPr>
                      <w:rFonts w:eastAsia="Calibri"/>
                      <w:sz w:val="18"/>
                      <w:szCs w:val="18"/>
                      <w:lang w:eastAsia="en-US"/>
                    </w:rPr>
                    <w:t xml:space="preserve">İdari Şartnamenin </w:t>
                  </w:r>
                  <w:r>
                    <w:rPr>
                      <w:rFonts w:eastAsia="Calibri"/>
                      <w:sz w:val="18"/>
                      <w:szCs w:val="18"/>
                      <w:lang w:eastAsia="en-US"/>
                    </w:rPr>
                    <w:t>7.5.2</w:t>
                  </w:r>
                  <w:r w:rsidRPr="00D17825">
                    <w:rPr>
                      <w:rFonts w:eastAsia="Calibri"/>
                      <w:sz w:val="18"/>
                      <w:szCs w:val="18"/>
                      <w:lang w:eastAsia="en-US"/>
                    </w:rPr>
                    <w:t xml:space="preserve"> maddesi </w:t>
                  </w:r>
                </w:p>
                <w:p w:rsidR="009E0F1B" w:rsidRPr="00D17825"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D17825">
                    <w:rPr>
                      <w:rFonts w:eastAsia="Calibri"/>
                      <w:sz w:val="18"/>
                      <w:szCs w:val="18"/>
                      <w:lang w:eastAsia="en-US"/>
                    </w:rPr>
                    <w:t>İhalede yeterlik kriteri olarak kapasite raporu istenmesi halinde doldurulacaktır.</w:t>
                  </w: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Raporun Ait Olduğu İşin Tanımı ve Günlük / Aylık / Yıllık Kapasite Miktarı (Birimi İle Birlikte)</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Raporun Tarihi, Sayısı</w:t>
                  </w:r>
                </w:p>
                <w:p w:rsidR="009E0F1B" w:rsidRDefault="009E0F1B" w:rsidP="009E0F1B">
                  <w:pPr>
                    <w:rPr>
                      <w:rFonts w:eastAsia="Calibri"/>
                      <w:sz w:val="18"/>
                      <w:szCs w:val="18"/>
                      <w:lang w:eastAsia="en-US"/>
                    </w:rPr>
                  </w:pPr>
                  <w:r w:rsidRPr="00B5264E">
                    <w:rPr>
                      <w:rFonts w:eastAsia="Calibri"/>
                      <w:sz w:val="18"/>
                      <w:szCs w:val="18"/>
                      <w:lang w:eastAsia="en-US"/>
                    </w:rPr>
                    <w:t>ve Geçerlik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B5264E" w:rsidRDefault="009E0F1B" w:rsidP="009E0F1B">
                  <w:pPr>
                    <w:jc w:val="center"/>
                    <w:rPr>
                      <w:rFonts w:eastAsia="Calibri"/>
                      <w:sz w:val="18"/>
                      <w:szCs w:val="18"/>
                      <w:lang w:eastAsia="en-US"/>
                    </w:rPr>
                  </w:pPr>
                  <w:r w:rsidRPr="00996756">
                    <w:rPr>
                      <w:rFonts w:eastAsia="Calibri"/>
                      <w:sz w:val="18"/>
                      <w:szCs w:val="18"/>
                    </w:rPr>
                    <w:t>Kalite ve Standarda İlişkin Diğer Belgeler</w:t>
                  </w:r>
                </w:p>
              </w:tc>
              <w:tc>
                <w:tcPr>
                  <w:tcW w:w="2426" w:type="dxa"/>
                  <w:vAlign w:val="center"/>
                </w:tcPr>
                <w:p w:rsidR="009E0F1B" w:rsidRPr="00B5264E" w:rsidRDefault="009E0F1B" w:rsidP="009E0F1B">
                  <w:pPr>
                    <w:rPr>
                      <w:rFonts w:eastAsia="Calibri"/>
                      <w:sz w:val="18"/>
                      <w:szCs w:val="18"/>
                      <w:lang w:eastAsia="en-US"/>
                    </w:rPr>
                  </w:pPr>
                </w:p>
                <w:p w:rsidR="009E0F1B" w:rsidRDefault="009E0F1B" w:rsidP="009E0F1B">
                  <w:pPr>
                    <w:rPr>
                      <w:sz w:val="18"/>
                      <w:szCs w:val="18"/>
                    </w:rPr>
                  </w:pPr>
                  <w:r w:rsidRPr="00B5264E">
                    <w:rPr>
                      <w:sz w:val="18"/>
                      <w:szCs w:val="18"/>
                    </w:rPr>
                    <w:t>Belgenin ve Standardın Adı (Varsa Kodu)</w:t>
                  </w:r>
                </w:p>
                <w:p w:rsidR="009E0F1B" w:rsidRPr="00B5264E" w:rsidRDefault="009E0F1B" w:rsidP="009E0F1B">
                  <w:pPr>
                    <w:rPr>
                      <w:sz w:val="18"/>
                      <w:szCs w:val="18"/>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Pr="006D6BC1" w:rsidRDefault="009E0F1B" w:rsidP="009E0F1B">
                  <w:pPr>
                    <w:rPr>
                      <w:rFonts w:eastAsia="Calibri"/>
                      <w:sz w:val="18"/>
                      <w:szCs w:val="18"/>
                      <w:lang w:eastAsia="en-US"/>
                    </w:rPr>
                  </w:pPr>
                  <w:r w:rsidRPr="0004116D">
                    <w:rPr>
                      <w:rFonts w:eastAsia="Calibri"/>
                      <w:sz w:val="18"/>
                      <w:szCs w:val="18"/>
                      <w:lang w:eastAsia="en-US"/>
                    </w:rPr>
                    <w:t>İdari Şartnamenin 7.9.7.1 maddesi</w:t>
                  </w:r>
                </w:p>
                <w:p w:rsidR="009E0F1B" w:rsidRPr="009A02FF"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9A02FF">
                    <w:rPr>
                      <w:rFonts w:eastAsia="Calibri"/>
                      <w:sz w:val="18"/>
                      <w:szCs w:val="18"/>
                      <w:lang w:eastAsia="en-US"/>
                    </w:rPr>
                    <w:t>İhalede yeterlik kriteri olarak standarda ilişkin belge istenm</w:t>
                  </w:r>
                  <w:r>
                    <w:rPr>
                      <w:rFonts w:eastAsia="Calibri"/>
                      <w:sz w:val="18"/>
                      <w:szCs w:val="18"/>
                      <w:lang w:eastAsia="en-US"/>
                    </w:rPr>
                    <w:t>esi durumunda doldurulacaktır.</w:t>
                  </w:r>
                </w:p>
              </w:tc>
            </w:tr>
            <w:tr w:rsidR="009E0F1B" w:rsidRPr="00B5264E" w:rsidTr="00C46B75">
              <w:trPr>
                <w:trHeight w:val="425"/>
              </w:trPr>
              <w:tc>
                <w:tcPr>
                  <w:tcW w:w="1754" w:type="dxa"/>
                  <w:vMerge/>
                  <w:vAlign w:val="center"/>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sz w:val="18"/>
                      <w:szCs w:val="18"/>
                    </w:rPr>
                  </w:pPr>
                </w:p>
                <w:p w:rsidR="009E0F1B" w:rsidRDefault="009E0F1B" w:rsidP="009E0F1B">
                  <w:pPr>
                    <w:rPr>
                      <w:rFonts w:eastAsia="Calibri"/>
                      <w:sz w:val="18"/>
                      <w:szCs w:val="18"/>
                      <w:lang w:eastAsia="en-US"/>
                    </w:rPr>
                  </w:pPr>
                  <w:r w:rsidRPr="00B5264E">
                    <w:rPr>
                      <w:sz w:val="18"/>
                      <w:szCs w:val="18"/>
                    </w:rPr>
                    <w:t xml:space="preserve">Düzenleyen </w:t>
                  </w:r>
                  <w:r w:rsidRPr="00130723">
                    <w:rPr>
                      <w:rFonts w:eastAsia="Calibri"/>
                      <w:sz w:val="18"/>
                      <w:szCs w:val="18"/>
                      <w:lang w:eastAsia="en-US"/>
                    </w:rPr>
                    <w:t>Kurum/Kuruluş</w:t>
                  </w:r>
                  <w:r w:rsidRPr="00B5264E">
                    <w:rPr>
                      <w:rFonts w:eastAsia="Calibri"/>
                      <w:sz w:val="18"/>
                      <w:szCs w:val="18"/>
                      <w:lang w:eastAsia="en-US"/>
                    </w:rPr>
                    <w:t>, Belgenin Tarihi, Sayısı ve Geçerlik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r w:rsidR="009E0F1B" w:rsidRPr="00B5264E" w:rsidTr="00DF21C8">
              <w:trPr>
                <w:trHeight w:val="1102"/>
              </w:trPr>
              <w:tc>
                <w:tcPr>
                  <w:tcW w:w="1761" w:type="dxa"/>
                </w:tcPr>
                <w:p w:rsidR="009E0F1B" w:rsidRPr="00694CB5" w:rsidRDefault="009E0F1B" w:rsidP="009E0F1B">
                  <w:pPr>
                    <w:jc w:val="both"/>
                    <w:rPr>
                      <w:rFonts w:eastAsia="Calibri"/>
                      <w:sz w:val="18"/>
                      <w:szCs w:val="18"/>
                      <w:highlight w:val="yellow"/>
                      <w:lang w:eastAsia="en-US"/>
                    </w:rPr>
                  </w:pPr>
                </w:p>
                <w:p w:rsidR="009E0F1B" w:rsidRPr="00623952" w:rsidRDefault="009E0F1B" w:rsidP="009E0F1B">
                  <w:pPr>
                    <w:jc w:val="center"/>
                    <w:rPr>
                      <w:rFonts w:eastAsia="Calibri"/>
                      <w:sz w:val="18"/>
                      <w:szCs w:val="18"/>
                      <w:lang w:eastAsia="en-US"/>
                    </w:rPr>
                  </w:pPr>
                  <w:r w:rsidRPr="00623952">
                    <w:rPr>
                      <w:rFonts w:eastAsia="Calibri"/>
                      <w:sz w:val="18"/>
                      <w:szCs w:val="18"/>
                      <w:lang w:eastAsia="en-US"/>
                    </w:rPr>
                    <w:t>Elektronik İhale Uygulama Yönetmeliğinin 20 nci Maddesinin Birinci Fıkrasına Uygun Olarak Alınan Banka Referans Mektubu</w:t>
                  </w:r>
                </w:p>
                <w:p w:rsidR="009E0F1B" w:rsidRPr="00623952" w:rsidRDefault="009E0F1B" w:rsidP="009E0F1B">
                  <w:pPr>
                    <w:jc w:val="center"/>
                    <w:rPr>
                      <w:rFonts w:eastAsia="Calibri"/>
                      <w:sz w:val="18"/>
                      <w:szCs w:val="18"/>
                      <w:lang w:eastAsia="en-US"/>
                    </w:rPr>
                  </w:pPr>
                </w:p>
                <w:p w:rsidR="009E0F1B" w:rsidRPr="00623952" w:rsidRDefault="009E0F1B" w:rsidP="009E0F1B">
                  <w:pPr>
                    <w:jc w:val="center"/>
                    <w:rPr>
                      <w:rFonts w:eastAsia="Calibri"/>
                      <w:i/>
                      <w:sz w:val="18"/>
                      <w:szCs w:val="18"/>
                      <w:lang w:eastAsia="en-US"/>
                    </w:rPr>
                  </w:pPr>
                  <w:r w:rsidRPr="00623952">
                    <w:rPr>
                      <w:rFonts w:eastAsia="Calibri"/>
                      <w:i/>
                      <w:sz w:val="18"/>
                      <w:szCs w:val="18"/>
                      <w:lang w:eastAsia="en-US"/>
                    </w:rPr>
                    <w:t>(Bu mektuplara ilişkin bilgiler EKAP’a elektronik ortamda aktarılmaktadır.)</w:t>
                  </w:r>
                </w:p>
                <w:p w:rsidR="009E0F1B" w:rsidRPr="00694CB5" w:rsidRDefault="009E0F1B" w:rsidP="009E0F1B">
                  <w:pPr>
                    <w:jc w:val="both"/>
                    <w:rPr>
                      <w:rFonts w:eastAsia="Calibri"/>
                      <w:i/>
                      <w:sz w:val="18"/>
                      <w:szCs w:val="18"/>
                      <w:highlight w:val="yellow"/>
                      <w:lang w:eastAsia="en-US"/>
                    </w:rPr>
                  </w:pPr>
                </w:p>
              </w:tc>
              <w:tc>
                <w:tcPr>
                  <w:tcW w:w="2419" w:type="dxa"/>
                  <w:vAlign w:val="center"/>
                </w:tcPr>
                <w:p w:rsidR="009E0F1B" w:rsidRPr="0048392C" w:rsidRDefault="009E0F1B" w:rsidP="009E0F1B">
                  <w:pPr>
                    <w:jc w:val="both"/>
                    <w:rPr>
                      <w:rFonts w:eastAsia="Calibri"/>
                      <w:sz w:val="18"/>
                      <w:szCs w:val="18"/>
                      <w:highlight w:val="yellow"/>
                      <w:lang w:eastAsia="en-US"/>
                    </w:rPr>
                  </w:pPr>
                  <w:r w:rsidRPr="0048392C">
                    <w:rPr>
                      <w:rFonts w:eastAsia="Calibri"/>
                      <w:sz w:val="18"/>
                      <w:szCs w:val="18"/>
                      <w:lang w:eastAsia="en-US"/>
                    </w:rPr>
                    <w:t>Banka Referans Mektubunun Ayırt Edici Numarası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Pr="00B23667" w:rsidRDefault="009E0F1B" w:rsidP="009E0F1B">
                  <w:pPr>
                    <w:rPr>
                      <w:rFonts w:eastAsia="Calibri"/>
                      <w:sz w:val="18"/>
                      <w:szCs w:val="18"/>
                      <w:lang w:eastAsia="en-US"/>
                    </w:rPr>
                  </w:pPr>
                  <w:r>
                    <w:rPr>
                      <w:rFonts w:eastAsia="Calibri"/>
                      <w:sz w:val="18"/>
                      <w:szCs w:val="18"/>
                      <w:lang w:eastAsia="en-US"/>
                    </w:rPr>
                    <w:t>İdari Şartnamenin 7.4.1 maddesi</w:t>
                  </w:r>
                </w:p>
                <w:p w:rsidR="009E0F1B" w:rsidRPr="00B23667"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23667">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9E0F1B" w:rsidRPr="00B5264E" w:rsidTr="00DF21C8">
              <w:trPr>
                <w:trHeight w:val="1102"/>
              </w:trPr>
              <w:tc>
                <w:tcPr>
                  <w:tcW w:w="1761" w:type="dxa"/>
                </w:tcPr>
                <w:p w:rsidR="009E0F1B" w:rsidRPr="00694CB5" w:rsidRDefault="009E0F1B" w:rsidP="009E0F1B">
                  <w:pPr>
                    <w:jc w:val="center"/>
                    <w:rPr>
                      <w:rFonts w:eastAsia="Calibri"/>
                      <w:sz w:val="18"/>
                      <w:szCs w:val="18"/>
                      <w:highlight w:val="yellow"/>
                      <w:lang w:eastAsia="en-US"/>
                    </w:rPr>
                  </w:pPr>
                  <w:r w:rsidRPr="00E17822">
                    <w:rPr>
                      <w:rFonts w:eastAsia="Calibri"/>
                      <w:sz w:val="18"/>
                      <w:szCs w:val="18"/>
                      <w:lang w:eastAsia="en-US"/>
                    </w:rPr>
                    <w:t xml:space="preserve">Elektronik İhale Uygulama Yönetmeliğinin 20 nci Maddesinin Birinci Fıkrasına Uygun Olarak Alınmayan Banka Referans Mektubu</w:t>
                  </w:r>
                </w:p>
              </w:tc>
              <w:tc>
                <w:tcPr>
                  <w:tcW w:w="2419" w:type="dxa"/>
                  <w:vAlign w:val="center"/>
                </w:tcPr>
                <w:p w:rsidR="009E0F1B" w:rsidRPr="0048392C" w:rsidRDefault="009E0F1B" w:rsidP="009E0F1B">
                  <w:pPr>
                    <w:rPr>
                      <w:rFonts w:eastAsia="Calibri"/>
                      <w:sz w:val="18"/>
                      <w:szCs w:val="18"/>
                      <w:lang w:eastAsia="en-US"/>
                    </w:rPr>
                  </w:pPr>
                  <w:r w:rsidRPr="00EF7549">
                    <w:rPr>
                      <w:rFonts w:eastAsia="Calibri"/>
                      <w:sz w:val="18"/>
                      <w:szCs w:val="18"/>
                      <w:lang w:eastAsia="en-US"/>
                    </w:rPr>
                    <w:lastRenderedPageBreak/>
                    <w:t>Düzenleyen Kuruluşun Adı, Düzenlenme Tarihi,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Pr="004A30A1" w:rsidRDefault="009E0F1B" w:rsidP="009E0F1B">
                  <w:pPr>
                    <w:jc w:val="both"/>
                    <w:rPr>
                      <w:rFonts w:eastAsia="Calibri"/>
                      <w:sz w:val="18"/>
                      <w:szCs w:val="18"/>
                      <w:lang w:eastAsia="en-US"/>
                    </w:rPr>
                  </w:pPr>
                  <w:r w:rsidRPr="004A30A1">
                    <w:rPr>
                      <w:rFonts w:eastAsia="Calibri"/>
                      <w:sz w:val="18"/>
                      <w:szCs w:val="18"/>
                      <w:lang w:eastAsia="en-US"/>
                    </w:rPr>
                    <w:t xml:space="preserve">İdari Şartnamenin 7.4.1 maddesi </w:t>
                  </w:r>
                </w:p>
                <w:p w:rsidR="009E0F1B" w:rsidRPr="004A30A1" w:rsidRDefault="009E0F1B" w:rsidP="009E0F1B">
                  <w:pPr>
                    <w:jc w:val="both"/>
                    <w:rPr>
                      <w:rFonts w:eastAsia="Calibri"/>
                      <w:sz w:val="18"/>
                      <w:szCs w:val="18"/>
                      <w:lang w:eastAsia="en-US"/>
                    </w:rPr>
                  </w:pPr>
                </w:p>
                <w:p w:rsidR="009E0F1B" w:rsidRDefault="009E0F1B" w:rsidP="009E0F1B">
                  <w:pPr>
                    <w:rPr>
                      <w:rFonts w:eastAsia="Calibri"/>
                      <w:sz w:val="18"/>
                      <w:szCs w:val="18"/>
                      <w:lang w:eastAsia="en-US"/>
                    </w:rPr>
                  </w:pPr>
                  <w:r w:rsidRPr="004A30A1">
                    <w:rPr>
                      <w:rFonts w:eastAsia="Calibri"/>
                      <w:sz w:val="18"/>
                      <w:szCs w:val="18"/>
                      <w:lang w:eastAsia="en-US"/>
                    </w:rPr>
                    <w:t xml:space="preserve">Elektronik İhale Uygulama Yönetmeliğinin 20 nci maddesinin birinci fıkrasına uygun </w:t>
                  </w:r>
                  <w:r w:rsidRPr="004A30A1">
                    <w:rPr>
                      <w:rFonts w:eastAsia="Calibri"/>
                      <w:sz w:val="18"/>
                      <w:szCs w:val="18"/>
                      <w:lang w:eastAsia="en-US"/>
                    </w:rPr>
                    <w:lastRenderedPageBreak/>
                    <w:t>olarak alınmayan banka referans mektubuna ilişkin bilgiler belirtilecektir.</w:t>
                  </w: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