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2022/774718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Tellidede Mezarlığı Şehit Anıtı Yapım İşi ve Çevre Düzenlemesi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