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2022/732296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KÖŞK İLÇESİ MERKEZ VE MERKEZE BAĞLI KÖY VE KÖY ALTI YERLEŞİM BİRİMLERİNDEKİ 408 ORTAÖĞRETİM ÖĞRENCİNİN 3 TAŞIMA MERKEZİ OKULA 26 HAT ( ARAÇ) İLE 180 İŞ GÜNÜ TAŞIMA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