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E37" w:rsidRDefault="00E34CF0">
      <w:pPr>
        <w:pStyle w:val="Standard"/>
        <w:ind w:left="1418" w:firstLine="709"/>
        <w:jc w:val="both"/>
      </w:pPr>
      <w:bookmarkStart w:id="0" w:name="_GoBack"/>
      <w:bookmarkEnd w:id="0"/>
      <w:r>
        <w:rPr>
          <w:rFonts w:eastAsia="Times New Roman" w:cs="Times New Roman"/>
          <w:b/>
          <w:bCs/>
          <w:color w:val="242424"/>
          <w:w w:val="105"/>
        </w:rPr>
        <w:t xml:space="preserve">YANMAYA ÖRME BAŞLIK TEKNİK </w:t>
      </w:r>
      <w:r>
        <w:rPr>
          <w:rFonts w:eastAsia="Times New Roman" w:cs="Times New Roman"/>
          <w:b/>
          <w:bCs/>
          <w:color w:val="242424"/>
          <w:spacing w:val="3"/>
          <w:w w:val="105"/>
        </w:rPr>
        <w:t>Ş</w:t>
      </w:r>
      <w:r>
        <w:rPr>
          <w:rFonts w:eastAsia="Times New Roman" w:cs="Times New Roman"/>
          <w:b/>
          <w:bCs/>
          <w:color w:val="242424"/>
          <w:w w:val="105"/>
        </w:rPr>
        <w:t>ARTNAMESİ</w:t>
      </w:r>
    </w:p>
    <w:p w:rsidR="00353E37" w:rsidRDefault="00353E37">
      <w:pPr>
        <w:pStyle w:val="Standard"/>
        <w:jc w:val="both"/>
        <w:rPr>
          <w:rFonts w:cs="Times New Roman"/>
        </w:rPr>
      </w:pPr>
    </w:p>
    <w:p w:rsidR="00353E37" w:rsidRDefault="00E34CF0">
      <w:pPr>
        <w:pStyle w:val="Standard"/>
        <w:ind w:firstLine="709"/>
        <w:jc w:val="both"/>
      </w:pPr>
      <w:r>
        <w:rPr>
          <w:rFonts w:cs="Times New Roman"/>
          <w:b/>
          <w:bCs/>
        </w:rPr>
        <w:t xml:space="preserve">I- KONU: </w:t>
      </w:r>
      <w:r>
        <w:rPr>
          <w:rFonts w:cs="Times New Roman"/>
          <w:bCs/>
        </w:rPr>
        <w:t xml:space="preserve">Bu teknik şartname, Orman Genel Müdürlüğü’nün ihtiyacı olan “Yanmaya Dayanaklı Örme Başlık”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Yanmaya Dayanıklı Örme Başlığa </w:t>
      </w:r>
      <w:r>
        <w:rPr>
          <w:rFonts w:cs="Times New Roman"/>
          <w:bCs/>
          <w:iCs/>
        </w:rPr>
        <w:t>ait</w:t>
      </w:r>
      <w:r>
        <w:rPr>
          <w:rFonts w:cs="Times New Roman"/>
        </w:rPr>
        <w:t xml:space="preserve"> teknik ve genel özellikleri kapsamaktadır.</w:t>
      </w:r>
    </w:p>
    <w:p w:rsidR="00353E37" w:rsidRDefault="00353E37">
      <w:pPr>
        <w:pStyle w:val="Standard"/>
        <w:jc w:val="both"/>
        <w:rPr>
          <w:rFonts w:cs="Times New Roman"/>
        </w:rPr>
      </w:pPr>
    </w:p>
    <w:p w:rsidR="00353E37" w:rsidRDefault="00E34CF0">
      <w:pPr>
        <w:pStyle w:val="Standard"/>
        <w:ind w:firstLine="709"/>
        <w:jc w:val="both"/>
      </w:pPr>
      <w:r>
        <w:rPr>
          <w:rFonts w:cs="Times New Roman"/>
          <w:b/>
          <w:bCs/>
          <w:color w:val="000000"/>
        </w:rPr>
        <w:t>II-</w:t>
      </w:r>
      <w:r>
        <w:rPr>
          <w:rFonts w:cs="Times New Roman"/>
        </w:rPr>
        <w:t xml:space="preserve"> </w:t>
      </w:r>
      <w:r>
        <w:rPr>
          <w:rFonts w:cs="Times New Roman"/>
          <w:b/>
        </w:rPr>
        <w:t>YANMAYA DAYANIKLI ÖRME BAŞLIĞIN TEKNİK ÖZELLİKLERİ:</w:t>
      </w:r>
    </w:p>
    <w:p w:rsidR="00353E37" w:rsidRDefault="00353E37">
      <w:pPr>
        <w:pStyle w:val="Standard"/>
        <w:jc w:val="both"/>
        <w:rPr>
          <w:rFonts w:eastAsia="Times New Roman" w:cs="Times New Roman"/>
          <w:b/>
          <w:bCs/>
          <w:color w:val="000000"/>
          <w:w w:val="105"/>
        </w:rPr>
      </w:pPr>
    </w:p>
    <w:p w:rsidR="00353E37" w:rsidRDefault="00E34CF0">
      <w:pPr>
        <w:jc w:val="both"/>
      </w:pPr>
      <w:r>
        <w:rPr>
          <w:rFonts w:eastAsia="Times New Roman" w:cs="Times New Roman"/>
          <w:b/>
          <w:bCs/>
          <w:color w:val="000000"/>
          <w:w w:val="105"/>
        </w:rPr>
        <w:t>2.1.</w:t>
      </w:r>
      <w:r>
        <w:rPr>
          <w:rFonts w:eastAsia="Calibri" w:cs="Times New Roman"/>
          <w:kern w:val="0"/>
          <w:lang w:eastAsia="en-US" w:bidi="ar-SA"/>
        </w:rPr>
        <w:t>Yüksek ısı ve direkt alev</w:t>
      </w:r>
      <w:r>
        <w:rPr>
          <w:rFonts w:eastAsia="Calibri" w:cs="Times New Roman"/>
          <w:kern w:val="0"/>
          <w:lang w:eastAsia="en-US" w:bidi="ar-SA"/>
        </w:rPr>
        <w:t xml:space="preserve"> temasına ve yanmaya dayanıklı, erimez nitelikte olacaktır.</w:t>
      </w:r>
    </w:p>
    <w:p w:rsidR="00353E37" w:rsidRDefault="00353E37">
      <w:pPr>
        <w:jc w:val="both"/>
        <w:rPr>
          <w:rFonts w:eastAsia="Calibri" w:cs="Times New Roman"/>
          <w:kern w:val="0"/>
          <w:lang w:eastAsia="en-US" w:bidi="ar-SA"/>
        </w:rPr>
      </w:pPr>
    </w:p>
    <w:p w:rsidR="00353E37" w:rsidRDefault="00E34CF0">
      <w:pPr>
        <w:widowControl/>
        <w:suppressAutoHyphens w:val="0"/>
        <w:spacing w:after="200" w:line="276" w:lineRule="auto"/>
        <w:jc w:val="both"/>
        <w:textAlignment w:val="auto"/>
      </w:pPr>
      <w:r>
        <w:rPr>
          <w:rFonts w:eastAsia="Calibri" w:cs="Times New Roman"/>
          <w:b/>
          <w:kern w:val="0"/>
          <w:lang w:eastAsia="en-US" w:bidi="ar-SA"/>
        </w:rPr>
        <w:t xml:space="preserve">2.2. </w:t>
      </w:r>
      <w:r>
        <w:rPr>
          <w:rFonts w:eastAsia="Calibri" w:cs="Times New Roman"/>
          <w:kern w:val="0"/>
          <w:lang w:eastAsia="en-US" w:bidi="ar-SA"/>
        </w:rPr>
        <w:t>Yüz, ense ve başı koruyacak, boyun bölgesini kapatacak, omuz hizasına kadar inecek ve göz bölümü açıkta kalacak şekilde olacaktır.</w:t>
      </w:r>
    </w:p>
    <w:p w:rsidR="00353E37" w:rsidRDefault="00E34CF0">
      <w:pPr>
        <w:widowControl/>
        <w:suppressAutoHyphens w:val="0"/>
        <w:spacing w:after="200" w:line="276" w:lineRule="auto"/>
        <w:jc w:val="both"/>
        <w:textAlignment w:val="auto"/>
      </w:pPr>
      <w:r>
        <w:rPr>
          <w:rFonts w:eastAsia="Calibri" w:cs="Times New Roman"/>
          <w:b/>
          <w:kern w:val="0"/>
          <w:lang w:eastAsia="en-US" w:bidi="ar-SA"/>
        </w:rPr>
        <w:t xml:space="preserve">2.3. </w:t>
      </w:r>
      <w:r>
        <w:rPr>
          <w:rFonts w:eastAsia="Calibri" w:cs="Times New Roman"/>
          <w:kern w:val="0"/>
          <w:lang w:eastAsia="en-US" w:bidi="ar-SA"/>
        </w:rPr>
        <w:t xml:space="preserve">Başlık elastiki özellikte olacak takılması ve </w:t>
      </w:r>
      <w:r>
        <w:rPr>
          <w:rFonts w:eastAsia="Calibri" w:cs="Times New Roman"/>
          <w:kern w:val="0"/>
          <w:lang w:eastAsia="en-US" w:bidi="ar-SA"/>
        </w:rPr>
        <w:t>çıkarılması kolay olacaktır.</w:t>
      </w:r>
    </w:p>
    <w:p w:rsidR="00353E37" w:rsidRDefault="00E34CF0">
      <w:pPr>
        <w:widowControl/>
        <w:suppressAutoHyphens w:val="0"/>
        <w:spacing w:after="200" w:line="276" w:lineRule="auto"/>
        <w:textAlignment w:val="auto"/>
      </w:pPr>
      <w:r>
        <w:rPr>
          <w:rFonts w:eastAsia="Calibri" w:cs="Times New Roman"/>
          <w:b/>
          <w:kern w:val="0"/>
          <w:lang w:eastAsia="en-US" w:bidi="ar-SA"/>
        </w:rPr>
        <w:t>2.4.</w:t>
      </w:r>
      <w:r>
        <w:rPr>
          <w:rFonts w:eastAsia="Calibri" w:cs="Times New Roman"/>
          <w:b/>
          <w:bCs/>
          <w:kern w:val="0"/>
          <w:lang w:eastAsia="en-US" w:bidi="ar-SA"/>
        </w:rPr>
        <w:t xml:space="preserve"> </w:t>
      </w:r>
      <w:r>
        <w:rPr>
          <w:rFonts w:eastAsia="Calibri" w:cs="Times New Roman"/>
          <w:kern w:val="0"/>
          <w:lang w:eastAsia="en-US" w:bidi="ar-SA"/>
        </w:rPr>
        <w:t>Koruyucu örme başlık,</w:t>
      </w:r>
      <w:r>
        <w:rPr>
          <w:rFonts w:eastAsia="Calibri" w:cs="Times New Roman"/>
          <w:bCs/>
          <w:kern w:val="0"/>
          <w:lang w:eastAsia="en-US" w:bidi="ar-SA"/>
        </w:rPr>
        <w:t xml:space="preserve"> </w:t>
      </w:r>
      <w:r>
        <w:rPr>
          <w:rFonts w:eastAsia="Calibri" w:cs="Times New Roman"/>
          <w:kern w:val="0"/>
          <w:lang w:eastAsia="en-US" w:bidi="ar-SA"/>
        </w:rPr>
        <w:t xml:space="preserve">çift kat (200/250 gr/m2) </w:t>
      </w:r>
      <w:proofErr w:type="spellStart"/>
      <w:r>
        <w:rPr>
          <w:rFonts w:eastAsia="Calibri" w:cs="Times New Roman"/>
          <w:kern w:val="0"/>
          <w:lang w:eastAsia="en-US" w:bidi="ar-SA"/>
        </w:rPr>
        <w:t>aramid</w:t>
      </w:r>
      <w:proofErr w:type="spellEnd"/>
      <w:r>
        <w:rPr>
          <w:rFonts w:eastAsia="Calibri" w:cs="Times New Roman"/>
          <w:kern w:val="0"/>
          <w:lang w:eastAsia="en-US" w:bidi="ar-SA"/>
        </w:rPr>
        <w:t xml:space="preserve"> örgü malzemeden imal edilmiş olacaktır.</w:t>
      </w:r>
    </w:p>
    <w:p w:rsidR="00353E37" w:rsidRDefault="00E34CF0">
      <w:pPr>
        <w:widowControl/>
        <w:suppressAutoHyphens w:val="0"/>
        <w:spacing w:after="200" w:line="276" w:lineRule="auto"/>
        <w:textAlignment w:val="auto"/>
      </w:pPr>
      <w:r>
        <w:rPr>
          <w:b/>
        </w:rPr>
        <w:t>2.5.</w:t>
      </w:r>
      <w:r>
        <w:t xml:space="preserve"> TS EN 13911 standardında belirtilen değerlere göre test edilen yanmaya dayanıklı koruyucu örme başlık, aşağıdaki çizelgedek</w:t>
      </w:r>
      <w:r>
        <w:t>i özellikler ile hizalarında gösterilen değerlere sahip olacak ve bu husus belgelendirilecektir.</w:t>
      </w:r>
    </w:p>
    <w:p w:rsidR="00353E37" w:rsidRDefault="00E34CF0">
      <w:pPr>
        <w:widowControl/>
        <w:suppressAutoHyphens w:val="0"/>
        <w:spacing w:after="200" w:line="276" w:lineRule="auto"/>
        <w:jc w:val="both"/>
        <w:textAlignment w:val="auto"/>
      </w:pPr>
      <w:r>
        <w:t>- Isı iletimine dayanım</w:t>
      </w:r>
      <w:r>
        <w:tab/>
        <w:t xml:space="preserve">     HTI24 ≥ 10 </w:t>
      </w:r>
      <w:proofErr w:type="spellStart"/>
      <w:r>
        <w:t>sn</w:t>
      </w:r>
      <w:proofErr w:type="spellEnd"/>
    </w:p>
    <w:p w:rsidR="00353E37" w:rsidRDefault="00E34CF0">
      <w:pPr>
        <w:widowControl/>
        <w:suppressAutoHyphens w:val="0"/>
        <w:spacing w:after="200" w:line="276" w:lineRule="auto"/>
        <w:jc w:val="both"/>
        <w:textAlignment w:val="auto"/>
      </w:pPr>
      <w:r>
        <w:t xml:space="preserve">- Radyan ısıya dayanım   RHTI24 (t24) ≥ 20 </w:t>
      </w:r>
      <w:proofErr w:type="spellStart"/>
      <w:r>
        <w:t>sn</w:t>
      </w:r>
      <w:proofErr w:type="spellEnd"/>
    </w:p>
    <w:p w:rsidR="00353E37" w:rsidRDefault="00E34CF0">
      <w:pPr>
        <w:widowControl/>
        <w:suppressAutoHyphens w:val="0"/>
        <w:spacing w:after="200" w:line="276" w:lineRule="auto"/>
        <w:jc w:val="both"/>
        <w:textAlignment w:val="auto"/>
      </w:pPr>
      <w:r>
        <w:t>- Dikiş mukavemeti</w:t>
      </w:r>
      <w:r>
        <w:tab/>
        <w:t xml:space="preserve">                             ≥ 400 </w:t>
      </w:r>
      <w:proofErr w:type="spellStart"/>
      <w:r>
        <w:t>kPA</w:t>
      </w:r>
      <w:proofErr w:type="spellEnd"/>
    </w:p>
    <w:p w:rsidR="00353E37" w:rsidRDefault="00E34CF0">
      <w:pPr>
        <w:widowControl/>
        <w:suppressAutoHyphens w:val="0"/>
        <w:spacing w:after="200" w:line="276" w:lineRule="auto"/>
        <w:jc w:val="both"/>
        <w:textAlignment w:val="auto"/>
      </w:pPr>
      <w:r>
        <w:t>-</w:t>
      </w:r>
      <w:proofErr w:type="spellStart"/>
      <w:r>
        <w:t>Rezidüel</w:t>
      </w:r>
      <w:proofErr w:type="spellEnd"/>
      <w:r>
        <w:t xml:space="preserve"> </w:t>
      </w:r>
      <w:r>
        <w:t>(kalan) mukavemeti</w:t>
      </w:r>
      <w:r>
        <w:tab/>
        <w:t xml:space="preserve">      ≥ 400 </w:t>
      </w:r>
      <w:proofErr w:type="spellStart"/>
      <w:r>
        <w:t>kPA</w:t>
      </w:r>
      <w:proofErr w:type="spellEnd"/>
    </w:p>
    <w:p w:rsidR="00353E37" w:rsidRDefault="00E34CF0">
      <w:pPr>
        <w:widowControl/>
        <w:suppressAutoHyphens w:val="0"/>
        <w:spacing w:after="200" w:line="276" w:lineRule="auto"/>
        <w:jc w:val="both"/>
        <w:textAlignment w:val="auto"/>
      </w:pPr>
      <w:r>
        <w:rPr>
          <w:b/>
        </w:rPr>
        <w:t>2.6.</w:t>
      </w:r>
      <w:r>
        <w:t xml:space="preserve"> Koruyucu örme başlığın dikiş iplikleri %100 </w:t>
      </w:r>
      <w:proofErr w:type="spellStart"/>
      <w:r>
        <w:t>aramid</w:t>
      </w:r>
      <w:proofErr w:type="spellEnd"/>
      <w:r>
        <w:t xml:space="preserve"> olacaktır. Dikiş yerleri esnek ve genişlemeyen tipte olacaktır.</w:t>
      </w:r>
    </w:p>
    <w:p w:rsidR="00353E37" w:rsidRDefault="00E34CF0">
      <w:pPr>
        <w:widowControl/>
        <w:suppressAutoHyphens w:val="0"/>
        <w:spacing w:after="200" w:line="276" w:lineRule="auto"/>
        <w:jc w:val="both"/>
        <w:textAlignment w:val="auto"/>
      </w:pPr>
      <w:r>
        <w:rPr>
          <w:rFonts w:eastAsia="Calibri" w:cs="Times New Roman"/>
          <w:b/>
          <w:kern w:val="0"/>
          <w:lang w:eastAsia="en-US" w:bidi="ar-SA"/>
        </w:rPr>
        <w:t xml:space="preserve">2.7. </w:t>
      </w:r>
      <w:r>
        <w:rPr>
          <w:rFonts w:eastAsia="Calibri" w:cs="Times New Roman"/>
          <w:kern w:val="0"/>
          <w:lang w:eastAsia="en-US" w:bidi="ar-SA"/>
        </w:rPr>
        <w:t>TS EN 13911 standartlarında olacak ve bu husus belgelendirilecektir.</w:t>
      </w:r>
      <w:r>
        <w:rPr>
          <w:rFonts w:eastAsia="Calibri" w:cs="Times New Roman"/>
          <w:b/>
          <w:bCs/>
          <w:kern w:val="0"/>
          <w:lang w:eastAsia="en-US" w:bidi="ar-SA"/>
        </w:rPr>
        <w:t xml:space="preserve"> </w:t>
      </w:r>
    </w:p>
    <w:p w:rsidR="00353E37" w:rsidRDefault="00E34CF0">
      <w:pPr>
        <w:widowControl/>
        <w:suppressAutoHyphens w:val="0"/>
        <w:spacing w:after="200" w:line="276" w:lineRule="auto"/>
        <w:jc w:val="both"/>
        <w:textAlignment w:val="auto"/>
      </w:pPr>
      <w:r>
        <w:rPr>
          <w:rFonts w:eastAsia="Calibri" w:cs="Times New Roman"/>
          <w:b/>
          <w:bCs/>
          <w:kern w:val="0"/>
          <w:lang w:eastAsia="en-US" w:bidi="ar-SA"/>
        </w:rPr>
        <w:t xml:space="preserve">2.8. </w:t>
      </w:r>
      <w:r>
        <w:rPr>
          <w:rFonts w:eastAsia="Calibri" w:cs="Times New Roman"/>
          <w:bCs/>
          <w:kern w:val="0"/>
          <w:lang w:eastAsia="en-US" w:bidi="ar-SA"/>
        </w:rPr>
        <w:t>K</w:t>
      </w:r>
      <w:r>
        <w:rPr>
          <w:rFonts w:eastAsia="Calibri" w:cs="Times New Roman"/>
          <w:kern w:val="0"/>
          <w:lang w:eastAsia="en-US" w:bidi="ar-SA"/>
        </w:rPr>
        <w:t>oruyucu örme başlığı</w:t>
      </w:r>
      <w:r>
        <w:rPr>
          <w:rFonts w:eastAsia="Calibri" w:cs="Times New Roman"/>
          <w:kern w:val="0"/>
          <w:lang w:eastAsia="en-US" w:bidi="ar-SA"/>
        </w:rPr>
        <w:t>n rengi lacivert olacaktır.</w:t>
      </w:r>
    </w:p>
    <w:p w:rsidR="00353E37" w:rsidRDefault="00E34CF0">
      <w:pPr>
        <w:widowControl/>
        <w:suppressAutoHyphens w:val="0"/>
        <w:spacing w:after="200" w:line="276" w:lineRule="auto"/>
        <w:jc w:val="both"/>
        <w:textAlignment w:val="auto"/>
      </w:pPr>
      <w:r>
        <w:rPr>
          <w:rFonts w:eastAsia="Calibri" w:cs="Times New Roman"/>
          <w:b/>
          <w:kern w:val="0"/>
          <w:lang w:eastAsia="en-US" w:bidi="ar-SA"/>
        </w:rPr>
        <w:t>2.9.</w:t>
      </w:r>
      <w:r>
        <w:rPr>
          <w:rFonts w:eastAsia="Calibri" w:cs="Times New Roman"/>
          <w:kern w:val="0"/>
          <w:lang w:eastAsia="en-US" w:bidi="ar-SA"/>
        </w:rPr>
        <w:t xml:space="preserve"> Koruyucu örme başlıklar taşınması kolay ambalaj içinde olacak ve her kolide 100 adet olarak teslim edilecektir. Koli üzerinde malzemenin adı ve miktarı belirtilecektir.</w:t>
      </w:r>
    </w:p>
    <w:p w:rsidR="00353E37" w:rsidRDefault="00353E37">
      <w:pPr>
        <w:pStyle w:val="Standard"/>
        <w:jc w:val="both"/>
        <w:rPr>
          <w:rFonts w:eastAsia="Times New Roman" w:cs="Times New Roman"/>
          <w:color w:val="000000"/>
          <w:w w:val="105"/>
        </w:rPr>
      </w:pPr>
    </w:p>
    <w:p w:rsidR="00353E37" w:rsidRDefault="00E34CF0">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353E37" w:rsidRDefault="00E34CF0">
      <w:pPr>
        <w:pStyle w:val="Standard"/>
        <w:jc w:val="both"/>
      </w:pPr>
      <w:r>
        <w:rPr>
          <w:rFonts w:cs="Times New Roman"/>
          <w:b/>
          <w:bCs/>
        </w:rPr>
        <w:t>3.1.</w:t>
      </w:r>
      <w:r>
        <w:rPr>
          <w:rFonts w:cs="Times New Roman"/>
        </w:rPr>
        <w:t xml:space="preserve"> İstekli, teknik şartnamede </w:t>
      </w:r>
      <w:r>
        <w:rPr>
          <w:rFonts w:cs="Times New Roman"/>
        </w:rPr>
        <w:t>belirtilen belgelerle birlikte teklif edeceği ürüne esas olmak üzere bir adet ısıya dayanıklı örme başlık numune olarak teklif ile birlikte idare yetkilisine teslim edecektir. Numuneyi teslim etmeyen veya fiziksel (görsel ve elle yapılacak) kontrol sonucun</w:t>
      </w:r>
      <w:r>
        <w:rPr>
          <w:rFonts w:cs="Times New Roman"/>
        </w:rPr>
        <w:t>da teknik şartnamede belirtilen özelliklere uygun olmayan numuneyi veren isteklilerin teklifleri değerlendirmeye alınmayacaktır.</w:t>
      </w:r>
    </w:p>
    <w:p w:rsidR="00353E37" w:rsidRDefault="00353E37">
      <w:pPr>
        <w:pStyle w:val="Standard"/>
        <w:jc w:val="both"/>
        <w:rPr>
          <w:rFonts w:cs="Times New Roman"/>
        </w:rPr>
      </w:pPr>
    </w:p>
    <w:p w:rsidR="00353E37" w:rsidRDefault="00E34CF0">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 test m</w:t>
      </w:r>
      <w:r>
        <w:rPr>
          <w:rFonts w:cs="Times New Roman"/>
        </w:rPr>
        <w:t>asrafları yüklenici tarafından karşılanmak üzere şartnamede belirtilen değerleri karşılayıp karşılamadığını test ettirilebilecektir.</w:t>
      </w:r>
    </w:p>
    <w:p w:rsidR="00353E37" w:rsidRDefault="00353E37">
      <w:pPr>
        <w:pStyle w:val="Standard"/>
        <w:jc w:val="both"/>
        <w:rPr>
          <w:rFonts w:cs="Times New Roman"/>
        </w:rPr>
      </w:pPr>
    </w:p>
    <w:p w:rsidR="00353E37" w:rsidRDefault="00E34CF0">
      <w:pPr>
        <w:pStyle w:val="Standard"/>
        <w:tabs>
          <w:tab w:val="left" w:pos="421"/>
        </w:tabs>
        <w:jc w:val="both"/>
      </w:pPr>
      <w:r>
        <w:rPr>
          <w:rFonts w:cs="Times New Roman"/>
          <w:b/>
          <w:bCs/>
        </w:rPr>
        <w:t>3.3.</w:t>
      </w:r>
      <w:r>
        <w:rPr>
          <w:rFonts w:cs="Times New Roman"/>
          <w:b/>
          <w:bCs/>
        </w:rPr>
        <w:tab/>
      </w:r>
      <w:r>
        <w:rPr>
          <w:rFonts w:cs="Times New Roman"/>
        </w:rPr>
        <w:t>Yüklenici malzemelerin teslimi anında malzemelerle ilgili bağımsız kuruluşlardan (laboratuvarlardan) alınmış, istenil</w:t>
      </w:r>
      <w:r>
        <w:rPr>
          <w:rFonts w:cs="Times New Roman"/>
        </w:rPr>
        <w:t xml:space="preserve">en standartlara ve/veya CE şartlarına uygun olduklarını belirten sertifikaları ve belgeleri verecektir. CE işaretinin sağ alt köşesinde uygunluk değerlendirme işlemlerini yapan Onaylanmış Kuruluşun 4 haneli kimlik numarası bulunacaktır. </w:t>
      </w:r>
    </w:p>
    <w:p w:rsidR="00353E37" w:rsidRDefault="00353E37">
      <w:pPr>
        <w:pStyle w:val="Standard"/>
        <w:tabs>
          <w:tab w:val="left" w:pos="421"/>
        </w:tabs>
        <w:jc w:val="both"/>
        <w:rPr>
          <w:rFonts w:cs="Times New Roman"/>
        </w:rPr>
      </w:pPr>
    </w:p>
    <w:p w:rsidR="00353E37" w:rsidRDefault="00E34CF0">
      <w:pPr>
        <w:pStyle w:val="Standard"/>
        <w:jc w:val="both"/>
      </w:pPr>
      <w:r>
        <w:rPr>
          <w:rFonts w:cs="Times New Roman"/>
          <w:b/>
          <w:bCs/>
        </w:rPr>
        <w:t xml:space="preserve">3.4. </w:t>
      </w:r>
      <w:r>
        <w:rPr>
          <w:rFonts w:cs="Times New Roman"/>
        </w:rPr>
        <w:t>Alıma esas n</w:t>
      </w:r>
      <w:r>
        <w:rPr>
          <w:rFonts w:cs="Times New Roman"/>
        </w:rPr>
        <w:t>umuneler kesinlikle kullanılmamış olacak, defolu ve hatalı olmayacaktır.</w:t>
      </w:r>
    </w:p>
    <w:p w:rsidR="00353E37" w:rsidRDefault="00353E37">
      <w:pPr>
        <w:pStyle w:val="Standard"/>
        <w:tabs>
          <w:tab w:val="left" w:pos="421"/>
        </w:tabs>
        <w:jc w:val="both"/>
        <w:rPr>
          <w:rFonts w:cs="Times New Roman"/>
        </w:rPr>
      </w:pPr>
    </w:p>
    <w:p w:rsidR="00353E37" w:rsidRDefault="00E34CF0">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353E37" w:rsidRDefault="00353E37">
      <w:pPr>
        <w:pStyle w:val="Standard"/>
        <w:tabs>
          <w:tab w:val="left" w:pos="1134"/>
          <w:tab w:val="left" w:pos="1843"/>
          <w:tab w:val="left" w:pos="2127"/>
        </w:tabs>
        <w:jc w:val="both"/>
        <w:rPr>
          <w:rFonts w:cs="Times New Roman"/>
        </w:rPr>
      </w:pPr>
    </w:p>
    <w:p w:rsidR="00353E37" w:rsidRDefault="00E34CF0">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kabul </w:t>
      </w:r>
      <w:r>
        <w:rPr>
          <w:rFonts w:cs="Times New Roman"/>
        </w:rPr>
        <w:t>tarihinden itibaren 2 (iki) yıl garantili olacaktır.</w:t>
      </w:r>
    </w:p>
    <w:p w:rsidR="00353E37" w:rsidRDefault="00353E37">
      <w:pPr>
        <w:pStyle w:val="Standard"/>
        <w:tabs>
          <w:tab w:val="left" w:pos="1134"/>
          <w:tab w:val="left" w:pos="1843"/>
          <w:tab w:val="left" w:pos="2127"/>
        </w:tabs>
        <w:jc w:val="both"/>
        <w:rPr>
          <w:rFonts w:cs="Times New Roman"/>
        </w:rPr>
      </w:pPr>
    </w:p>
    <w:p w:rsidR="00353E37" w:rsidRDefault="00E34CF0">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15 (</w:t>
      </w:r>
      <w:proofErr w:type="spellStart"/>
      <w:r>
        <w:rPr>
          <w:rFonts w:cs="Times New Roman"/>
        </w:rPr>
        <w:t>onbeş</w:t>
      </w:r>
      <w:proofErr w:type="spellEnd"/>
      <w:r>
        <w:rPr>
          <w:rFonts w:cs="Times New Roman"/>
        </w:rPr>
        <w:t xml:space="preserve">) </w:t>
      </w:r>
      <w:r>
        <w:rPr>
          <w:rFonts w:cs="Times New Roman"/>
          <w:color w:val="000000"/>
        </w:rPr>
        <w:t>maddeden ibarettir.  ……. /</w:t>
      </w:r>
      <w:proofErr w:type="gramStart"/>
      <w:r>
        <w:rPr>
          <w:rFonts w:cs="Times New Roman"/>
          <w:color w:val="000000"/>
        </w:rPr>
        <w:t>…….</w:t>
      </w:r>
      <w:proofErr w:type="gramEnd"/>
      <w:r>
        <w:rPr>
          <w:rFonts w:cs="Times New Roman"/>
          <w:color w:val="000000"/>
        </w:rPr>
        <w:t>/2014</w:t>
      </w: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rPr>
          <w:rFonts w:cs="Times New Roman"/>
          <w:b/>
          <w:color w:val="000000"/>
        </w:rPr>
      </w:pPr>
      <w:r>
        <w:rPr>
          <w:rFonts w:cs="Times New Roman"/>
          <w:b/>
          <w:color w:val="000000"/>
        </w:rPr>
        <w:tab/>
      </w: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t>Teknik Şartname Hazırlama Komisyonu</w:t>
      </w:r>
    </w:p>
    <w:p w:rsidR="00353E37" w:rsidRDefault="00353E37">
      <w:pPr>
        <w:pStyle w:val="Standard"/>
        <w:tabs>
          <w:tab w:val="left" w:pos="1843"/>
          <w:tab w:val="left" w:pos="2127"/>
        </w:tabs>
        <w:jc w:val="both"/>
        <w:rPr>
          <w:rFonts w:cs="Times New Roman"/>
          <w:b/>
          <w:color w:val="000000"/>
        </w:rPr>
      </w:pP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pPr>
      <w:r>
        <w:rPr>
          <w:rFonts w:cs="Times New Roman"/>
          <w:color w:val="000000"/>
        </w:rPr>
        <w:t xml:space="preserve">   </w:t>
      </w:r>
      <w:r>
        <w:rPr>
          <w:rFonts w:cs="Times New Roman"/>
          <w:b/>
          <w:color w:val="000000"/>
        </w:rPr>
        <w:t xml:space="preserve"> </w:t>
      </w:r>
    </w:p>
    <w:p w:rsidR="00353E37" w:rsidRDefault="00E34CF0">
      <w:pPr>
        <w:pStyle w:val="Standard"/>
        <w:tabs>
          <w:tab w:val="left" w:pos="1843"/>
          <w:tab w:val="left" w:pos="2127"/>
        </w:tabs>
        <w:jc w:val="both"/>
        <w:rPr>
          <w:rFonts w:cs="Times New Roman"/>
          <w:b/>
          <w:color w:val="000000"/>
        </w:rPr>
      </w:pPr>
      <w:r>
        <w:rPr>
          <w:rFonts w:cs="Times New Roman"/>
          <w:b/>
          <w:color w:val="000000"/>
        </w:rPr>
        <w:t xml:space="preserve">   </w:t>
      </w:r>
    </w:p>
    <w:p w:rsidR="00353E37" w:rsidRDefault="00E34CF0">
      <w:pPr>
        <w:pStyle w:val="Standard"/>
        <w:tabs>
          <w:tab w:val="left" w:pos="1843"/>
          <w:tab w:val="left" w:pos="2127"/>
        </w:tabs>
        <w:jc w:val="both"/>
        <w:rPr>
          <w:rFonts w:cs="Times New Roman"/>
          <w:b/>
          <w:color w:val="000000"/>
        </w:rPr>
      </w:pPr>
      <w:r>
        <w:rPr>
          <w:rFonts w:cs="Times New Roman"/>
          <w:b/>
          <w:color w:val="000000"/>
        </w:rPr>
        <w:t xml:space="preserve">              </w:t>
      </w:r>
      <w:r>
        <w:rPr>
          <w:rFonts w:cs="Times New Roman"/>
          <w:b/>
          <w:color w:val="000000"/>
        </w:rPr>
        <w:t>Başkan</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Üye</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roofErr w:type="spellStart"/>
      <w:r>
        <w:rPr>
          <w:rFonts w:cs="Times New Roman"/>
          <w:b/>
          <w:color w:val="000000"/>
        </w:rPr>
        <w:t>Üye</w:t>
      </w:r>
      <w:proofErr w:type="spellEnd"/>
    </w:p>
    <w:p w:rsidR="00353E37" w:rsidRDefault="00E34CF0">
      <w:pPr>
        <w:pStyle w:val="Standard"/>
        <w:tabs>
          <w:tab w:val="left" w:pos="1843"/>
          <w:tab w:val="left" w:pos="2127"/>
        </w:tabs>
        <w:jc w:val="both"/>
      </w:pPr>
      <w:r>
        <w:rPr>
          <w:rFonts w:cs="Times New Roman"/>
          <w:b/>
          <w:color w:val="000000"/>
        </w:rPr>
        <w:t xml:space="preserve">         </w:t>
      </w: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353E37" w:rsidRDefault="00353E37">
      <w:pPr>
        <w:pStyle w:val="Standard"/>
        <w:tabs>
          <w:tab w:val="left" w:pos="1843"/>
          <w:tab w:val="left" w:pos="2127"/>
        </w:tabs>
        <w:jc w:val="both"/>
        <w:rPr>
          <w:rFonts w:cs="Times New Roman"/>
          <w:b/>
          <w:color w:val="000000"/>
        </w:rPr>
      </w:pP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353E37" w:rsidRDefault="00353E37">
      <w:pPr>
        <w:pStyle w:val="Standard"/>
        <w:tabs>
          <w:tab w:val="left" w:pos="1843"/>
          <w:tab w:val="left" w:pos="2127"/>
        </w:tabs>
        <w:jc w:val="both"/>
        <w:rPr>
          <w:rFonts w:cs="Times New Roman"/>
          <w:b/>
          <w:color w:val="000000"/>
        </w:rPr>
      </w:pP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OLUR</w:t>
      </w: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/2014</w:t>
      </w:r>
    </w:p>
    <w:p w:rsidR="00353E37" w:rsidRDefault="00E34CF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w:t>
      </w:r>
    </w:p>
    <w:p w:rsidR="00353E37" w:rsidRDefault="00353E37">
      <w:pPr>
        <w:pStyle w:val="Standard"/>
        <w:tabs>
          <w:tab w:val="left" w:pos="1843"/>
          <w:tab w:val="left" w:pos="2127"/>
        </w:tabs>
        <w:jc w:val="both"/>
        <w:rPr>
          <w:rFonts w:cs="Times New Roman"/>
          <w:color w:val="000000"/>
        </w:rPr>
      </w:pPr>
    </w:p>
    <w:sectPr w:rsidR="00353E37">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CF0" w:rsidRDefault="00E34CF0">
      <w:r>
        <w:separator/>
      </w:r>
    </w:p>
  </w:endnote>
  <w:endnote w:type="continuationSeparator" w:id="0">
    <w:p w:rsidR="00E34CF0" w:rsidRDefault="00E3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lbertus Medium">
    <w:charset w:val="00"/>
    <w:family w:val="swiss"/>
    <w:pitch w:val="variable"/>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05BD" w:rsidRDefault="00E34CF0">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1</w:t>
    </w:r>
    <w:r>
      <w:rPr>
        <w:rFonts w:ascii="Arial" w:hAnsi="Arial" w:cs="Arial"/>
        <w:sz w:val="22"/>
        <w:szCs w:val="22"/>
      </w:rPr>
      <w:fldChar w:fldCharType="end"/>
    </w:r>
    <w:r>
      <w:rPr>
        <w:rFonts w:ascii="Arial" w:hAnsi="Arial" w:cs="Arial"/>
        <w:sz w:val="22"/>
        <w:szCs w:val="22"/>
      </w:rPr>
      <w:t>-</w:t>
    </w:r>
  </w:p>
  <w:p w:rsidR="009A05BD" w:rsidRDefault="00E34CF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CF0" w:rsidRDefault="00E34CF0">
      <w:r>
        <w:rPr>
          <w:color w:val="000000"/>
        </w:rPr>
        <w:separator/>
      </w:r>
    </w:p>
  </w:footnote>
  <w:footnote w:type="continuationSeparator" w:id="0">
    <w:p w:rsidR="00E34CF0" w:rsidRDefault="00E34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05BD" w:rsidRDefault="00E34CF0">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839876" cy="824038"/>
                  </a:xfrm>
                  <a:prstGeom prst="rect">
                    <a:avLst/>
                  </a:prstGeom>
                  <a:noFill/>
                  <a:ln>
                    <a:noFill/>
                    <a:prstDash/>
                  </a:ln>
                </pic:spPr>
              </pic:pic>
            </a:graphicData>
          </a:graphic>
        </wp:anchor>
      </w:drawing>
    </w:r>
  </w:p>
  <w:p w:rsidR="009A05BD" w:rsidRDefault="00E34CF0">
    <w:pPr>
      <w:pStyle w:val="stbilgi"/>
      <w:rPr>
        <w:lang w:eastAsia="tr-TR" w:bidi="ar-SA"/>
      </w:rPr>
    </w:pPr>
  </w:p>
  <w:p w:rsidR="009A05BD" w:rsidRDefault="00E34CF0">
    <w:pPr>
      <w:pStyle w:val="stbilgi"/>
    </w:pPr>
  </w:p>
  <w:p w:rsidR="009A05BD" w:rsidRDefault="00E34CF0">
    <w:pPr>
      <w:pStyle w:val="stbilgi"/>
    </w:pPr>
  </w:p>
  <w:p w:rsidR="009A05BD" w:rsidRDefault="00E34CF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660B5"/>
    <w:multiLevelType w:val="multilevel"/>
    <w:tmpl w:val="94D2D04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F0906DA"/>
    <w:multiLevelType w:val="multilevel"/>
    <w:tmpl w:val="37F28C12"/>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53E37"/>
    <w:rsid w:val="00353E37"/>
    <w:rsid w:val="00A13F93"/>
    <w:rsid w:val="00E34CF0"/>
    <w:rsid w:val="00E72C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C1499-9DEE-4D44-92B5-3FD671E3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Balk4">
    <w:name w:val="heading 4"/>
    <w:basedOn w:val="Heading"/>
    <w:next w:val="Textbody"/>
    <w:uiPriority w:val="9"/>
    <w:semiHidden/>
    <w:unhideWhenUsed/>
    <w:qFormat/>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bilgi">
    <w:name w:val="Üstbilgi"/>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customStyle="1" w:styleId="Altbilgi">
    <w:name w:val="Altbilgi"/>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paragraph" w:styleId="stBilgi0">
    <w:name w:val="header"/>
    <w:basedOn w:val="Normal"/>
    <w:pPr>
      <w:tabs>
        <w:tab w:val="center" w:pos="4536"/>
        <w:tab w:val="right" w:pos="9072"/>
      </w:tabs>
    </w:pPr>
    <w:rPr>
      <w:szCs w:val="21"/>
    </w:rPr>
  </w:style>
  <w:style w:type="character" w:customStyle="1" w:styleId="stBilgiChar">
    <w:name w:val="Üst Bilgi Char"/>
    <w:basedOn w:val="VarsaylanParagrafYazTipi"/>
    <w:rPr>
      <w:szCs w:val="21"/>
    </w:rPr>
  </w:style>
  <w:style w:type="paragraph" w:styleId="AltBilgi0">
    <w:name w:val="footer"/>
    <w:basedOn w:val="Normal"/>
    <w:pPr>
      <w:tabs>
        <w:tab w:val="center" w:pos="4536"/>
        <w:tab w:val="right" w:pos="9072"/>
      </w:tabs>
    </w:pPr>
    <w:rPr>
      <w:szCs w:val="21"/>
    </w:rPr>
  </w:style>
  <w:style w:type="character" w:customStyle="1" w:styleId="AltBilgiChar0">
    <w:name w:val="Alt 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Mühendis</cp:lastModifiedBy>
  <cp:revision>2</cp:revision>
  <dcterms:created xsi:type="dcterms:W3CDTF">2022-01-27T10:33:00Z</dcterms:created>
  <dcterms:modified xsi:type="dcterms:W3CDTF">2022-01-27T10:33:00Z</dcterms:modified>
</cp:coreProperties>
</file>