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2022/527076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KUŞADASI BELEDİYESİ Park ve Bahçeler Müdürlüğü</w:t>
      </w:r>
      <w:r w:rsidRPr="00F46639">
        <w:rPr>
          <w:sz w:val="22"/>
          <w:szCs w:val="22"/>
        </w:rPr>
        <w:t xml:space="preserve"> tarafından ihaleye çıkartılmış bulunan </w:t>
      </w:r>
      <w:r w:rsidRPr="00F46639">
        <w:rPr>
          <w:i/>
          <w:sz w:val="22"/>
          <w:szCs w:val="22"/>
        </w:rPr>
        <w:t>Kuşadası Mezar Taşları Müzesi Çevre Düzenlemesi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KUŞADASI BELEDİYESİ Park ve Bahçeler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