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Kapasite Raporu</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7.1.ı maddesi gereği ihaleye katılabilmesi için gerekli olan söz konusu belgenin son geçerlilik tarihi ve rapor nosu belirtilecektir.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İmalat Yeterlik Belgesi</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7.1.ı maddesi gereği ihaleye katılabilmesi için gerekli olan söz konusu belgenin tarih ve belge nosu belirtilecektir.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Sanayi Sicil Belgesi</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7.1.ı maddesi gereği İhaleye katılabilmesi için gerekli olan söz konusu belgenin tarih ve belge nosu belirtilecektir.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Yerli Malı Belgesi</w:t>
                  </w:r>
                </w:p>
              </w:tc>
              <w:tc>
                <w:tcPr>
                  <w:tcW w:w="5614" w:type="dxa"/>
                </w:tcPr>
                <w:p w:rsidR="00552351" w:rsidRDefault="00552351" w:rsidP="00552351">
                  <w:pPr>
                    <w:rPr>
                      <w:rFonts w:eastAsia="Calibri"/>
                      <w:sz w:val="18"/>
                      <w:szCs w:val="18"/>
                      <w:lang w:eastAsia="en-US"/>
                    </w:rPr>
                  </w:pPr>
                  <w:r>
                    <w:rPr>
                      <w:rFonts w:eastAsia="Calibri"/>
                      <w:sz w:val="18"/>
                      <w:szCs w:val="18"/>
                      <w:lang w:eastAsia="en-US"/>
                    </w:rPr>
                    <w:t>İdari Şartnamenin 7.1.ı maddesi gereği ihaleye katılabilmesi için gerekli olan söz konusu belgenin veriliş tarihi ve belge nosu belirtilecektir.</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