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ve 48.4.  maddesinde istenilen "Ek-4 İsteklinin Teklif Ettiği Araçlara Ait Özellikler Tablosu”</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ve 48.4.  maddesinde istenilen "Ek-4 İsteklinin Teklif Ettiği Araçlara Ait Tablosunda gösterilen taşıtlarla ilgili (Model Yılı / Marka Kodu / Tip Kodu / Marka Adı / Tip Adı / Kasko Değeri) bilgileri Yeterlik Bilgileri Tablosunun Diğer Belgeler satırında eksiksiz olarak beyan edecektir.”  Yeterlik Bilgileri Tablosunun Diğer Belgeler kısmında belirtilecektir.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