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2022/247414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350 gr ekmek</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