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1077"/>
              </w:trPr>
              <w:tc>
                <w:tcPr>
                  <w:tcW w:w="2379" w:type="dxa"/>
                  <w:vAlign w:val="center"/>
                </w:tcPr>
                <w:p w:rsidR="00552351" w:rsidRPr="000B01EA" w:rsidRDefault="00552351" w:rsidP="00552351">
                  <w:pPr>
                    <w:jc w:val="center"/>
                    <w:rPr>
                      <w:rFonts w:eastAsia="Calibri"/>
                      <w:sz w:val="18"/>
                      <w:szCs w:val="18"/>
                      <w:lang w:eastAsia="en-US"/>
                    </w:rPr>
                  </w:pPr>
                  <w:r>
                    <w:rPr>
                      <w:rFonts w:eastAsia="Calibri"/>
                      <w:sz w:val="18"/>
                      <w:szCs w:val="18"/>
                      <w:lang w:eastAsia="en-US"/>
                    </w:rPr>
                    <w:lastRenderedPageBreak/>
                    <w:t>Alt Yükleniciye Yaptırılması Düşünülen İşler</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