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Huzurevi Müdürlüğü- Nazilli Haluk Alıcık AİLE VE SOSYAL HİZMETLER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Kuruluşumuzun 2022 Yılı 8 Ay Süreli Kuruluş Mutfağında Pişirilmek Üzere Malzeme Dahil Yemek Hazırlama Ve Dağıtım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