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2022/1098489</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Otomobil Sürücü Dahil 9 Koltuk (7.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263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Otomobil Sürücü Dahil 9 Koltuk (6.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Otomobil Sürücü Dahil 9 Koltuk (5.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Otomobil Sürücü Dahil 9 Koltuk (4.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(7.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(6.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(5.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 (4.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Minibüs Sürücü Dahil 10-17 Koltuk (7.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Minibüs Sürücü Dahil 10-17 Koltuk (6.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(7.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 (6.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Sürücü Dahil 18-30 Koltuk (7.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Sürücü Dahil 18-30 Koltuk (6.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Motosiklet ve Yük Motosikleti (7.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Motosiklet ve Yük Motosikleti (6.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Amaçlı Taşıt (7.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Amaçlı Taşıt (6.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Amaçlı Taşıt (5. BASAMAK)</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