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2022/1062865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16 adet Midibüs en az 27 kişilik 253 iş günü (Merkez Kampüs/Veterinerlik Fakültesi)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4.048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2 adet Otobüs enaz 45 kişilik 253 iş günü (Ziraat Fakültesi)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