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2022/1039829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1 PERSONEL(ASGARİ ÜCRETİN %15 FAZLASI)(Brüt asgari ücretin %15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18 01 06 TEHLİKELİ MADDE İÇEREN YA DA TEHLİKELİ MADDELERDEN OLUŞAN KİMYASALLAR</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12.500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18 01 08 SİTOTOKSİK VE SİTOTOKSİK İLAÇLAR</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20 01 21 FLÜORESAN TÜPLER (LAMBALAR) VE DİĞER CİVA İÇEREN ATIKLAR</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15 01 10 TEHLİKELİ MADDELERİN KALINTILARINI İÇEREN YA DA TEHLİKELİ MADDELERLE KONTAMİNE OLMUŞ AMBALAJLAR</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08 03 17 TEHLİKELİ MADDE İÇEREN ATIK BASKI TONERLERİ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