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2022/1039829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YILLIK TEHLİKELİ ATIK BERTARAF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