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Çine Bekarlar HİS Göleti Planlama Mühendislik Hizmetleri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Şube Müdürlüğü-Planlama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