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2022/1029594</w:t>
      </w:r>
    </w:p>
    <w:p w:rsidR="000E6380" w:rsidRPr="00DC723F" w:rsidRDefault="000E6380" w:rsidP="000E6380">
      <w:r w:rsidR="00D853EB" w:rsidRPr="00D853EB">
        <w:rPr>
          <w:rStyle w:val="Parahead"/>
          <w:b/>
          <w:bCs/>
          <w:spacing w:val="-2"/>
        </w:rPr>
        <w:t>AYDIN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76.800,000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119.800,000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72.000,000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156.720,000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NAZİLLİ HALUK ALICIK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45.322,000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59.617,000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47.515,000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83.334,000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1.368,000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ATÇA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30.660,000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30.660,000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30.660,000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61.320,000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6.570,000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19.627,000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6.570,000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PAMUKÖREN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51.830,000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60.560,000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52.560,000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87.600,000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HORSUNLU HUZUREVİ YAŞLI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57.670,000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68.776,000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58.400,000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106.580,000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3.504,000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SÖKE HİLMİ FIRAT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77.486,000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98.478,000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70.176,000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149.855,000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AYDIN ÇOCUK EVLERİ SİTESİ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33.660,000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14.180,000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42.540,000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11.260,000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22.520,000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36.700,000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86.150,000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36.700,000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52.100,000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3.030,000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