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r w:rsidR="009E0F1B" w:rsidRPr="00B5264E" w:rsidTr="00DF21C8">
              <w:trPr>
                <w:trHeight w:val="1102"/>
              </w:trPr>
              <w:tc>
                <w:tcPr>
                  <w:tcW w:w="1761" w:type="dxa"/>
                </w:tcPr>
                <w:p w:rsidR="009E0F1B" w:rsidRPr="00694CB5" w:rsidRDefault="009E0F1B" w:rsidP="009E0F1B">
                  <w:pPr>
                    <w:jc w:val="both"/>
                    <w:rPr>
                      <w:rFonts w:eastAsia="Calibri"/>
                      <w:sz w:val="18"/>
                      <w:szCs w:val="18"/>
                      <w:highlight w:val="yellow"/>
                      <w:lang w:eastAsia="en-US"/>
                    </w:rPr>
                  </w:pPr>
                </w:p>
                <w:p w:rsidR="009E0F1B" w:rsidRPr="00623952" w:rsidRDefault="009E0F1B" w:rsidP="009E0F1B">
                  <w:pPr>
                    <w:jc w:val="center"/>
                    <w:rPr>
                      <w:rFonts w:eastAsia="Calibri"/>
                      <w:sz w:val="18"/>
                      <w:szCs w:val="18"/>
                      <w:lang w:eastAsia="en-US"/>
                    </w:rPr>
                  </w:pPr>
                  <w:r w:rsidRPr="00623952">
                    <w:rPr>
                      <w:rFonts w:eastAsia="Calibri"/>
                      <w:sz w:val="18"/>
                      <w:szCs w:val="18"/>
                      <w:lang w:eastAsia="en-US"/>
                    </w:rPr>
                    <w:t>Elektronik İhale Uygulama Yönetmeliğinin 20 nci Maddesinin Birinci Fıkrasına Uygun Olarak Alınan Banka Referans Mektubu</w:t>
                  </w:r>
                </w:p>
                <w:p w:rsidR="009E0F1B" w:rsidRPr="00623952" w:rsidRDefault="009E0F1B" w:rsidP="009E0F1B">
                  <w:pPr>
                    <w:jc w:val="center"/>
                    <w:rPr>
                      <w:rFonts w:eastAsia="Calibri"/>
                      <w:sz w:val="18"/>
                      <w:szCs w:val="18"/>
                      <w:lang w:eastAsia="en-US"/>
                    </w:rPr>
                  </w:pPr>
                </w:p>
                <w:p w:rsidR="009E0F1B" w:rsidRPr="00623952" w:rsidRDefault="009E0F1B" w:rsidP="009E0F1B">
                  <w:pPr>
                    <w:jc w:val="center"/>
                    <w:rPr>
                      <w:rFonts w:eastAsia="Calibri"/>
                      <w:i/>
                      <w:sz w:val="18"/>
                      <w:szCs w:val="18"/>
                      <w:lang w:eastAsia="en-US"/>
                    </w:rPr>
                  </w:pPr>
                  <w:r w:rsidRPr="00623952">
                    <w:rPr>
                      <w:rFonts w:eastAsia="Calibri"/>
                      <w:i/>
                      <w:sz w:val="18"/>
                      <w:szCs w:val="18"/>
                      <w:lang w:eastAsia="en-US"/>
                    </w:rPr>
                    <w:t>(Bu mektuplara ilişkin bilgiler EKAP’a elektronik ortamda aktarılmaktadır.)</w:t>
                  </w:r>
                </w:p>
                <w:p w:rsidR="009E0F1B" w:rsidRPr="00694CB5" w:rsidRDefault="009E0F1B" w:rsidP="009E0F1B">
                  <w:pPr>
                    <w:jc w:val="both"/>
                    <w:rPr>
                      <w:rFonts w:eastAsia="Calibri"/>
                      <w:i/>
                      <w:sz w:val="18"/>
                      <w:szCs w:val="18"/>
                      <w:highlight w:val="yellow"/>
                      <w:lang w:eastAsia="en-US"/>
                    </w:rPr>
                  </w:pPr>
                </w:p>
              </w:tc>
              <w:tc>
                <w:tcPr>
                  <w:tcW w:w="2419" w:type="dxa"/>
                  <w:vAlign w:val="center"/>
                </w:tcPr>
                <w:p w:rsidR="009E0F1B" w:rsidRPr="0048392C" w:rsidRDefault="009E0F1B" w:rsidP="009E0F1B">
                  <w:pPr>
                    <w:jc w:val="both"/>
                    <w:rPr>
                      <w:rFonts w:eastAsia="Calibri"/>
                      <w:sz w:val="18"/>
                      <w:szCs w:val="18"/>
                      <w:highlight w:val="yellow"/>
                      <w:lang w:eastAsia="en-US"/>
                    </w:rPr>
                  </w:pPr>
                  <w:r w:rsidRPr="0048392C">
                    <w:rPr>
                      <w:rFonts w:eastAsia="Calibri"/>
                      <w:sz w:val="18"/>
                      <w:szCs w:val="18"/>
                      <w:lang w:eastAsia="en-US"/>
                    </w:rPr>
                    <w:t>Banka Referans Mektubunun Ayırt Edici Numarası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Pr="00B23667" w:rsidRDefault="009E0F1B" w:rsidP="009E0F1B">
                  <w:pPr>
                    <w:rPr>
                      <w:rFonts w:eastAsia="Calibri"/>
                      <w:sz w:val="18"/>
                      <w:szCs w:val="18"/>
                      <w:lang w:eastAsia="en-US"/>
                    </w:rPr>
                  </w:pPr>
                  <w:r>
                    <w:rPr>
                      <w:rFonts w:eastAsia="Calibri"/>
                      <w:sz w:val="18"/>
                      <w:szCs w:val="18"/>
                      <w:lang w:eastAsia="en-US"/>
                    </w:rPr>
                    <w:t>İdari Şartnamenin 7.4.1 maddesi</w:t>
                  </w:r>
                </w:p>
                <w:p w:rsidR="009E0F1B" w:rsidRPr="00B23667"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23667">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9E0F1B" w:rsidRPr="00B5264E" w:rsidTr="00DF21C8">
              <w:trPr>
                <w:trHeight w:val="1102"/>
              </w:trPr>
              <w:tc>
                <w:tcPr>
                  <w:tcW w:w="1761" w:type="dxa"/>
                </w:tcPr>
                <w:p w:rsidR="009E0F1B" w:rsidRPr="00694CB5" w:rsidRDefault="009E0F1B" w:rsidP="009E0F1B">
                  <w:pPr>
                    <w:jc w:val="center"/>
                    <w:rPr>
                      <w:rFonts w:eastAsia="Calibri"/>
                      <w:sz w:val="18"/>
                      <w:szCs w:val="18"/>
                      <w:highlight w:val="yellow"/>
                      <w:lang w:eastAsia="en-US"/>
                    </w:rPr>
                  </w:pPr>
                  <w:r w:rsidRPr="00E17822">
                    <w:rPr>
                      <w:rFonts w:eastAsia="Calibri"/>
                      <w:sz w:val="18"/>
                      <w:szCs w:val="18"/>
                      <w:lang w:eastAsia="en-US"/>
                    </w:rPr>
                    <w:t xml:space="preserve">Elektronik İhale Uygulama Yönetmeliğinin 20 nci Maddesinin Birinci Fıkrasına Uygun Olarak Alınmayan Banka Referans Mektubu</w:t>
                  </w:r>
                </w:p>
              </w:tc>
              <w:tc>
                <w:tcPr>
                  <w:tcW w:w="2419" w:type="dxa"/>
                  <w:vAlign w:val="center"/>
                </w:tcPr>
                <w:p w:rsidR="009E0F1B" w:rsidRPr="0048392C" w:rsidRDefault="009E0F1B" w:rsidP="009E0F1B">
                  <w:pPr>
                    <w:rPr>
                      <w:rFonts w:eastAsia="Calibri"/>
                      <w:sz w:val="18"/>
                      <w:szCs w:val="18"/>
                      <w:lang w:eastAsia="en-US"/>
                    </w:rPr>
                  </w:pPr>
                  <w:r w:rsidRPr="00EF7549">
                    <w:rPr>
                      <w:rFonts w:eastAsia="Calibri"/>
                      <w:sz w:val="18"/>
                      <w:szCs w:val="18"/>
                      <w:lang w:eastAsia="en-US"/>
                    </w:rPr>
                    <w:lastRenderedPageBreak/>
                    <w:t>Düzenleyen Kuruluşun Adı, Düzenlenme Tarihi,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Pr="004A30A1" w:rsidRDefault="009E0F1B" w:rsidP="009E0F1B">
                  <w:pPr>
                    <w:jc w:val="both"/>
                    <w:rPr>
                      <w:rFonts w:eastAsia="Calibri"/>
                      <w:sz w:val="18"/>
                      <w:szCs w:val="18"/>
                      <w:lang w:eastAsia="en-US"/>
                    </w:rPr>
                  </w:pPr>
                  <w:r w:rsidRPr="004A30A1">
                    <w:rPr>
                      <w:rFonts w:eastAsia="Calibri"/>
                      <w:sz w:val="18"/>
                      <w:szCs w:val="18"/>
                      <w:lang w:eastAsia="en-US"/>
                    </w:rPr>
                    <w:t xml:space="preserve">İdari Şartnamenin 7.4.1 maddesi </w:t>
                  </w:r>
                </w:p>
                <w:p w:rsidR="009E0F1B" w:rsidRPr="004A30A1" w:rsidRDefault="009E0F1B" w:rsidP="009E0F1B">
                  <w:pPr>
                    <w:jc w:val="both"/>
                    <w:rPr>
                      <w:rFonts w:eastAsia="Calibri"/>
                      <w:sz w:val="18"/>
                      <w:szCs w:val="18"/>
                      <w:lang w:eastAsia="en-US"/>
                    </w:rPr>
                  </w:pPr>
                </w:p>
                <w:p w:rsidR="009E0F1B" w:rsidRDefault="009E0F1B" w:rsidP="009E0F1B">
                  <w:pPr>
                    <w:rPr>
                      <w:rFonts w:eastAsia="Calibri"/>
                      <w:sz w:val="18"/>
                      <w:szCs w:val="18"/>
                      <w:lang w:eastAsia="en-US"/>
                    </w:rPr>
                  </w:pPr>
                  <w:r w:rsidRPr="004A30A1">
                    <w:rPr>
                      <w:rFonts w:eastAsia="Calibri"/>
                      <w:sz w:val="18"/>
                      <w:szCs w:val="18"/>
                      <w:lang w:eastAsia="en-US"/>
                    </w:rPr>
                    <w:t xml:space="preserve">Elektronik İhale Uygulama Yönetmeliğinin 20 nci maddesinin birinci fıkrasına uygun </w:t>
                  </w:r>
                  <w:r w:rsidRPr="004A30A1">
                    <w:rPr>
                      <w:rFonts w:eastAsia="Calibri"/>
                      <w:sz w:val="18"/>
                      <w:szCs w:val="18"/>
                      <w:lang w:eastAsia="en-US"/>
                    </w:rPr>
                    <w:lastRenderedPageBreak/>
                    <w:t>olarak alınmayan banka referans mektubuna ilişkin bilgiler belirtilecektir.</w:t>
                  </w: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