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2021/848825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Şoför Personel(Brüt asgari ücretin %20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4</w:t>
            </w:r>
          </w:p>
        </w:tc>
        <w:tc>
          <w:tcPr>
            <w:tcW w:w="0" w:type="auto"/>
          </w:tcPr>
          <w:p w:rsidR="00923F45" w:rsidRPr="00A51BF9" w:rsidRDefault="00923F45" w:rsidP="00923F45">
            <w:pPr>
              <w:pStyle w:val="stBilgi"/>
              <w:rPr>
                <w:sz w:val="20"/>
              </w:rPr>
            </w:pPr>
            <w:r w:rsidRPr="00A51BF9">
              <w:rPr>
                <w:sz w:val="20"/>
              </w:rPr>
              <w:t>22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BİNEK SEDAN ARAÇ (3 araç x 22 ay=66)</w:t>
            </w:r>
          </w:p>
        </w:tc>
        <w:tc>
          <w:tcPr>
            <w:tcW w:w="0" w:type="auto"/>
          </w:tcPr>
          <w:p w:rsidR="00923F45" w:rsidRPr="00A51BF9" w:rsidRDefault="00923F45" w:rsidP="004E73E2">
            <w:pPr>
              <w:pStyle w:val="stBilgi"/>
              <w:rPr>
                <w:sz w:val="20"/>
              </w:rPr>
            </w:pPr>
            <w:r w:rsidRPr="00A51BF9">
              <w:rPr>
                <w:rFonts w:ascii="Calibri" w:eastAsia="SimSun" w:hAnsi="Calibri" w:cs="Arial"/>
                <w:sz w:val="20"/>
              </w:rPr>
              <w:t>araç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HAFİF TİCARİ BİNEK - CAMLI (1 araç x 22 ay=22)</w:t>
            </w:r>
          </w:p>
        </w:tc>
        <w:tc>
          <w:tcPr>
            <w:tcW w:w="0" w:type="auto"/>
          </w:tcPr>
          <w:p w:rsidR="00923F45" w:rsidRPr="00A51BF9" w:rsidRDefault="00923F45" w:rsidP="004E73E2">
            <w:pPr>
              <w:pStyle w:val="stBilgi"/>
              <w:rPr>
                <w:sz w:val="20"/>
              </w:rPr>
            </w:pPr>
            <w:r w:rsidRPr="00A51BF9">
              <w:rPr>
                <w:rFonts w:ascii="Calibri" w:eastAsia="SimSun" w:hAnsi="Calibri" w:cs="Arial"/>
                <w:sz w:val="20"/>
              </w:rPr>
              <w:t>araç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