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2021/838665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FEN İŞLERİ MÜDÜRLÜĞÜ</w:t>
      </w:r>
      <w:r w:rsidR="00280EF7" w:rsidRPr="006A1CDE">
        <w:rPr>
          <w:sz w:val="24"/>
          <w:szCs w:val="22"/>
        </w:rPr>
        <w:t xml:space="preserve"> tarafından ihaleye çıkarılmış bulunan </w:t>
      </w:r>
      <w:r w:rsidR="003B5E0D">
        <w:rPr>
          <w:i/>
          <w:color w:val="808080"/>
          <w:sz w:val="24"/>
          <w:szCs w:val="22"/>
        </w:rPr>
        <w:t>FİLLER MALZEME, TAŞ TOZU, MICIR, BALAST MALZEME, KUM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