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4C7D67">
              <w:trPr>
                <w:trHeight w:val="308"/>
              </w:trPr>
              <w:tc>
                <w:tcPr>
                  <w:tcW w:w="2379" w:type="dxa"/>
                  <w:vMerge w:val="restart"/>
                  <w:vAlign w:val="center"/>
                </w:tcPr>
                <w:p w:rsidR="00552351" w:rsidRPr="000B01EA" w:rsidRDefault="00552351" w:rsidP="00552351">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552351" w:rsidRPr="000B01EA" w:rsidRDefault="00552351" w:rsidP="00552351">
                  <w:pPr>
                    <w:rPr>
                      <w:rFonts w:eastAsia="Calibri"/>
                      <w:sz w:val="18"/>
                      <w:szCs w:val="18"/>
                      <w:lang w:eastAsia="en-US"/>
                    </w:rPr>
                  </w:pPr>
                </w:p>
                <w:p w:rsidR="00552351" w:rsidRDefault="00552351" w:rsidP="00552351">
                  <w:pPr>
                    <w:overflowPunct w:val="0"/>
                    <w:autoSpaceDE w:val="0"/>
                    <w:autoSpaceDN w:val="0"/>
                    <w:adjustRightInd w:val="0"/>
                    <w:textAlignment w:val="baseline"/>
                    <w:rPr>
                      <w:sz w:val="18"/>
                      <w:szCs w:val="18"/>
                    </w:rPr>
                  </w:pPr>
                </w:p>
                <w:p w:rsidR="00552351" w:rsidRDefault="00552351" w:rsidP="00552351">
                  <w:pPr>
                    <w:overflowPunct w:val="0"/>
                    <w:autoSpaceDE w:val="0"/>
                    <w:autoSpaceDN w:val="0"/>
                    <w:adjustRightInd w:val="0"/>
                    <w:textAlignment w:val="baseline"/>
                    <w:rPr>
                      <w:sz w:val="18"/>
                      <w:szCs w:val="18"/>
                    </w:rPr>
                  </w:pPr>
                  <w:r w:rsidRPr="000B01EA">
                    <w:rPr>
                      <w:sz w:val="18"/>
                      <w:szCs w:val="18"/>
                    </w:rPr>
                    <w:t xml:space="preserve">Belgenin ve Standardın Adı </w:t>
                  </w:r>
                </w:p>
                <w:p w:rsidR="00552351" w:rsidRPr="000B01EA" w:rsidRDefault="00552351" w:rsidP="00552351">
                  <w:pPr>
                    <w:overflowPunct w:val="0"/>
                    <w:autoSpaceDE w:val="0"/>
                    <w:autoSpaceDN w:val="0"/>
                    <w:adjustRightInd w:val="0"/>
                    <w:textAlignment w:val="baseline"/>
                    <w:rPr>
                      <w:sz w:val="18"/>
                      <w:szCs w:val="18"/>
                    </w:rPr>
                  </w:pPr>
                  <w:r w:rsidRPr="000B01EA">
                    <w:rPr>
                      <w:sz w:val="18"/>
                      <w:szCs w:val="18"/>
                    </w:rPr>
                    <w:t>(Varsa Kodu)</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8846A8" w:rsidRDefault="00552351" w:rsidP="00552351">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552351" w:rsidRPr="008846A8"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Pr="000B01EA">
                    <w:rPr>
                      <w:rFonts w:eastAsia="Calibri"/>
                      <w:sz w:val="18"/>
                      <w:szCs w:val="18"/>
                      <w:lang w:eastAsia="en-US"/>
                    </w:rPr>
                    <w:t xml:space="preserve"> </w:t>
                  </w:r>
                </w:p>
              </w:tc>
            </w:tr>
            <w:tr w:rsidR="00552351" w:rsidRPr="000B01EA" w:rsidTr="00DD5D7E">
              <w:trPr>
                <w:trHeight w:val="307"/>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sz w:val="18"/>
                      <w:szCs w:val="18"/>
                    </w:rPr>
                    <w:t xml:space="preserve">Düzenleyen </w:t>
                  </w:r>
                  <w:r w:rsidRPr="00915AF0">
                    <w:rPr>
                      <w:sz w:val="18"/>
                      <w:szCs w:val="18"/>
                    </w:rPr>
                    <w:t>Kurum/Kuruluş</w:t>
                  </w:r>
                  <w:r w:rsidRPr="000B01EA">
                    <w:rPr>
                      <w:rFonts w:eastAsia="Calibri"/>
                      <w:sz w:val="18"/>
                      <w:szCs w:val="18"/>
                      <w:lang w:eastAsia="en-US"/>
                    </w:rPr>
                    <w:t>, Belgenin Tarihi, Sayısı ve 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val="restart"/>
                  <w:vAlign w:val="center"/>
                </w:tcPr>
                <w:p w:rsidR="00552351" w:rsidRPr="000B01EA" w:rsidRDefault="00552351" w:rsidP="00552351">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 xml:space="preserve">Belgeyi Düzenleyen </w:t>
                  </w:r>
                  <w:r w:rsidRPr="00B10AB5">
                    <w:rPr>
                      <w:rFonts w:eastAsia="Calibri"/>
                      <w:sz w:val="18"/>
                      <w:szCs w:val="18"/>
                      <w:lang w:eastAsia="en-US"/>
                    </w:rPr>
                    <w:t>Kurum/Kuruluş</w:t>
                  </w:r>
                  <w:r w:rsidRPr="000B01EA">
                    <w:rPr>
                      <w:rFonts w:eastAsia="Calibri"/>
                      <w:sz w:val="18"/>
                      <w:szCs w:val="18"/>
                      <w:lang w:eastAsia="en-US"/>
                    </w:rPr>
                    <w:t xml:space="preserve"> ve</w:t>
                  </w:r>
                  <w:r>
                    <w:rPr>
                      <w:rFonts w:eastAsia="Calibri"/>
                      <w:sz w:val="18"/>
                      <w:szCs w:val="18"/>
                      <w:lang w:eastAsia="en-US"/>
                    </w:rPr>
                    <w:t xml:space="preserve"> </w:t>
                  </w:r>
                  <w:r w:rsidRPr="000B01EA">
                    <w:rPr>
                      <w:rFonts w:eastAsia="Calibri"/>
                      <w:sz w:val="18"/>
                      <w:szCs w:val="18"/>
                      <w:lang w:eastAsia="en-US"/>
                    </w:rPr>
                    <w:t>Belge Numarası</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BA2EC8" w:rsidRDefault="00552351" w:rsidP="00552351">
                  <w:pPr>
                    <w:jc w:val="both"/>
                    <w:rPr>
                      <w:rFonts w:eastAsia="Calibri"/>
                      <w:sz w:val="18"/>
                      <w:szCs w:val="18"/>
                      <w:lang w:eastAsia="en-US"/>
                    </w:rPr>
                  </w:pPr>
                  <w:r w:rsidRPr="00BA2EC8">
                    <w:rPr>
                      <w:rFonts w:eastAsia="Calibri"/>
                      <w:sz w:val="18"/>
                      <w:szCs w:val="18"/>
                      <w:lang w:eastAsia="en-US"/>
                    </w:rPr>
                    <w:t xml:space="preserve">İdari Şartnamenin 35.3.1 maddesi </w:t>
                  </w:r>
                </w:p>
                <w:p w:rsidR="00552351" w:rsidRPr="00BA2EC8" w:rsidRDefault="00552351" w:rsidP="00552351">
                  <w:pPr>
                    <w:jc w:val="both"/>
                    <w:rPr>
                      <w:rFonts w:eastAsia="Calibri"/>
                      <w:sz w:val="18"/>
                      <w:szCs w:val="18"/>
                      <w:lang w:eastAsia="en-US"/>
                    </w:rPr>
                  </w:pPr>
                </w:p>
                <w:p w:rsidR="00552351" w:rsidRPr="000B01EA" w:rsidRDefault="00552351" w:rsidP="00552351">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