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ÇOCUK BEZİ VE HASTA BEZİ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SOSYAL HİZMETLER DAİRESİ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