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AYDIN ADNAN MENDERES ÜNİVERSİTE HASTANESİ YÜKSEKÖĞRETİM KURUMLARI AYDIN ADNAN MENDERES ÜNİVERSİTESİ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12 AYLIK DIŞ LABORATUVARI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