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2021/606675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Yatırım ve İnşaat Dairesi Başkanlığı</w:t>
      </w:r>
      <w:r w:rsidRPr="00F46639">
        <w:rPr>
          <w:sz w:val="22"/>
          <w:szCs w:val="22"/>
        </w:rPr>
        <w:t xml:space="preserve"> tarafından ihaleye çıkartılmış bulunan </w:t>
      </w:r>
      <w:r w:rsidRPr="00F46639">
        <w:rPr>
          <w:i/>
          <w:sz w:val="22"/>
          <w:szCs w:val="22"/>
        </w:rPr>
        <w:t>Atıksu Arıtma Tesisi İnşaatı İlave Gaz Algılama Sistemi Temin ve Montajı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Yatırım ve İnşaat Dairesi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