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2021/602289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KOÇARLI BELEDİYESİ FEN İŞLERİ MÜDÜRLÜĞÜ</w:t>
      </w:r>
      <w:r w:rsidRPr="00F46639">
        <w:rPr>
          <w:sz w:val="22"/>
          <w:szCs w:val="22"/>
        </w:rPr>
        <w:t xml:space="preserve"> tarafından ihaleye çıkartılmış bulunan </w:t>
      </w:r>
      <w:r w:rsidRPr="00F46639">
        <w:rPr>
          <w:i/>
          <w:sz w:val="22"/>
          <w:szCs w:val="22"/>
        </w:rPr>
        <w:t>AKMESCİT MAHALLESİ, GAFFARLAR MAHALLESİ, ESENTEPE MAHALLESİ VE ŞENKÖY MAHALLESİNDE TOPLAM 4 ADET HALI SAHA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KOÇARLI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