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56465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Kemerbarajı Orman İşletme Şefliği Dövücü Su Toplama Çukuru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