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2021/182759</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Odun Dışı Bitkisel Ürünler Envanteri, Orbis Girişleri ve Faydalanma Planlarının yapılması</w:t>
            </w:r>
          </w:p>
        </w:tc>
        <w:tc>
          <w:tcPr>
            <w:tcW w:w="0" w:type="auto"/>
          </w:tcPr>
          <w:p w:rsidR="00923F45" w:rsidRPr="00A51BF9" w:rsidRDefault="00923F45" w:rsidP="004E73E2">
            <w:pPr>
              <w:pStyle w:val="stBilgi"/>
              <w:rPr>
                <w:sz w:val="20"/>
              </w:rPr>
            </w:pPr>
            <w:r w:rsidRPr="00A51BF9">
              <w:rPr>
                <w:rFonts w:ascii="Calibri" w:eastAsia="SimSun" w:hAnsi="Calibri" w:cs="Arial"/>
                <w:sz w:val="20"/>
              </w:rPr>
              <w:t>hektar</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6.000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