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2021/174131</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BOZDOĞAN BELEDİYE BAŞKANLIĞI</w:t>
      </w:r>
      <w:r w:rsidR="002512FA" w:rsidRPr="00F2506E">
        <w:rPr>
          <w:sz w:val="24"/>
          <w:szCs w:val="22"/>
        </w:rPr>
        <w:t xml:space="preserve"> tarafından ihaleye çıkarılmış bulunan </w:t>
      </w:r>
      <w:r w:rsidR="00B64BBD">
        <w:rPr>
          <w:i/>
          <w:color w:val="808080"/>
          <w:sz w:val="24"/>
          <w:szCs w:val="22"/>
        </w:rPr>
        <w:t>Bozdoğan Belediyesi Dokuz Mahallede Bulunan Çok Amaçlı sosyal Tesise Ait İnşaat İşlerinin Tamamlanması Yapım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BOZDOĞAN BELEDİYE BAŞKANLIĞI</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