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0618" w:rsidRDefault="0056283C">
      <w:pPr>
        <w:pStyle w:val="Standard"/>
        <w:ind w:left="709" w:firstLine="709"/>
        <w:jc w:val="both"/>
      </w:pPr>
      <w:bookmarkStart w:id="0" w:name="_GoBack"/>
      <w:bookmarkEnd w:id="0"/>
      <w:r>
        <w:rPr>
          <w:rFonts w:eastAsia="Times New Roman" w:cs="Times New Roman"/>
          <w:b/>
          <w:bCs/>
          <w:color w:val="242424"/>
          <w:w w:val="105"/>
        </w:rPr>
        <w:t xml:space="preserve">YANMAYA DAYANIKLI GÖZLÜK TEKNİK </w:t>
      </w:r>
      <w:r>
        <w:rPr>
          <w:rFonts w:eastAsia="Times New Roman" w:cs="Times New Roman"/>
          <w:b/>
          <w:bCs/>
          <w:color w:val="242424"/>
          <w:spacing w:val="3"/>
          <w:w w:val="105"/>
        </w:rPr>
        <w:t>Ş</w:t>
      </w:r>
      <w:r>
        <w:rPr>
          <w:rFonts w:eastAsia="Times New Roman" w:cs="Times New Roman"/>
          <w:b/>
          <w:bCs/>
          <w:color w:val="242424"/>
          <w:w w:val="105"/>
        </w:rPr>
        <w:t>ARTNAMESİ</w:t>
      </w:r>
    </w:p>
    <w:p w:rsidR="00B20618" w:rsidRDefault="00B20618">
      <w:pPr>
        <w:pStyle w:val="Standard"/>
        <w:jc w:val="both"/>
        <w:rPr>
          <w:rFonts w:cs="Times New Roman"/>
        </w:rPr>
      </w:pPr>
    </w:p>
    <w:p w:rsidR="00B20618" w:rsidRDefault="0056283C">
      <w:pPr>
        <w:pStyle w:val="Standard"/>
        <w:ind w:firstLine="709"/>
        <w:jc w:val="both"/>
      </w:pPr>
      <w:r>
        <w:rPr>
          <w:rFonts w:cs="Times New Roman"/>
          <w:b/>
          <w:bCs/>
        </w:rPr>
        <w:t xml:space="preserve">I- KONU: </w:t>
      </w:r>
      <w:r>
        <w:rPr>
          <w:rFonts w:cs="Times New Roman"/>
          <w:bCs/>
        </w:rPr>
        <w:t xml:space="preserve">Bu teknik şartname, Orman Genel Müdürlüğü’nün ihtiyacı olan “Yanmaya Dayanıklı Gözlük” satın alınmasında kullanılacak olup, </w:t>
      </w:r>
      <w:r>
        <w:rPr>
          <w:rFonts w:cs="Times New Roman"/>
        </w:rPr>
        <w:t xml:space="preserve">yangınla mücadele hizmetlerinde görev yapacak personelin ihtiyacı için satın alınacak olan </w:t>
      </w:r>
      <w:r>
        <w:rPr>
          <w:rFonts w:cs="Times New Roman"/>
          <w:b/>
          <w:bCs/>
          <w:i/>
          <w:iCs/>
        </w:rPr>
        <w:t xml:space="preserve">Yanmaya Dayanıklı Gözlüğe </w:t>
      </w:r>
      <w:r>
        <w:rPr>
          <w:rFonts w:cs="Times New Roman"/>
          <w:bCs/>
          <w:iCs/>
        </w:rPr>
        <w:t>ait</w:t>
      </w:r>
      <w:r>
        <w:rPr>
          <w:rFonts w:cs="Times New Roman"/>
        </w:rPr>
        <w:t xml:space="preserve"> teknik ve genel özellikleri kapsamaktadır.</w:t>
      </w:r>
    </w:p>
    <w:p w:rsidR="00B20618" w:rsidRDefault="00B20618">
      <w:pPr>
        <w:pStyle w:val="Standard"/>
        <w:jc w:val="both"/>
        <w:rPr>
          <w:rFonts w:cs="Times New Roman"/>
        </w:rPr>
      </w:pPr>
    </w:p>
    <w:p w:rsidR="00B20618" w:rsidRDefault="0056283C">
      <w:pPr>
        <w:pStyle w:val="Standard"/>
        <w:ind w:firstLine="709"/>
        <w:jc w:val="both"/>
      </w:pPr>
      <w:r>
        <w:rPr>
          <w:rFonts w:cs="Times New Roman"/>
          <w:b/>
          <w:bCs/>
          <w:color w:val="000000"/>
        </w:rPr>
        <w:t>II-</w:t>
      </w:r>
      <w:r>
        <w:rPr>
          <w:rFonts w:cs="Times New Roman"/>
        </w:rPr>
        <w:t xml:space="preserve"> </w:t>
      </w:r>
      <w:r>
        <w:rPr>
          <w:rFonts w:cs="Times New Roman"/>
          <w:b/>
          <w:bCs/>
        </w:rPr>
        <w:t>YANMAYA DAYANIKLI GÖZLÜĞÜN TEKNİK ÖZELLİKLERİ</w:t>
      </w:r>
      <w:r>
        <w:rPr>
          <w:rFonts w:cs="Times New Roman"/>
        </w:rPr>
        <w:t>:</w:t>
      </w:r>
    </w:p>
    <w:p w:rsidR="00B20618" w:rsidRDefault="00B20618">
      <w:pPr>
        <w:pStyle w:val="Standard"/>
        <w:ind w:firstLine="709"/>
        <w:jc w:val="both"/>
        <w:rPr>
          <w:rFonts w:cs="Times New Roman"/>
        </w:rPr>
      </w:pPr>
    </w:p>
    <w:p w:rsidR="00B20618" w:rsidRDefault="0056283C">
      <w:pPr>
        <w:widowControl/>
        <w:tabs>
          <w:tab w:val="left" w:pos="1843"/>
          <w:tab w:val="left" w:pos="2127"/>
        </w:tabs>
        <w:suppressAutoHyphens w:val="0"/>
        <w:overflowPunct w:val="0"/>
        <w:autoSpaceDE w:val="0"/>
        <w:spacing w:after="120"/>
        <w:textAlignment w:val="auto"/>
      </w:pPr>
      <w:r>
        <w:rPr>
          <w:rFonts w:eastAsia="Times New Roman" w:cs="Times New Roman"/>
          <w:b/>
          <w:kern w:val="0"/>
          <w:lang w:eastAsia="tr-TR" w:bidi="ar-SA"/>
        </w:rPr>
        <w:t>2.1.</w:t>
      </w:r>
      <w:r>
        <w:rPr>
          <w:rFonts w:eastAsia="Times New Roman" w:cs="Times New Roman"/>
          <w:kern w:val="0"/>
          <w:lang w:eastAsia="tr-TR" w:bidi="ar-SA"/>
        </w:rPr>
        <w:t xml:space="preserve"> Yanmaya dayanaklı gözlük yüzün göz</w:t>
      </w:r>
      <w:r>
        <w:rPr>
          <w:rFonts w:eastAsia="Times New Roman" w:cs="Times New Roman"/>
          <w:kern w:val="0"/>
          <w:lang w:eastAsia="tr-TR" w:bidi="ar-SA"/>
        </w:rPr>
        <w:t xml:space="preserve"> kısmını tamamen kaplayacak, bütün yüz tiplerine uygun olacak, gözleri yanmadan, parçacık ve kıvılcımlardan, sıvı sıçramalarından, buhar ve dumandan koruyacak özellikte olacaktır.</w:t>
      </w:r>
    </w:p>
    <w:p w:rsidR="00B20618" w:rsidRDefault="0056283C">
      <w:pPr>
        <w:widowControl/>
        <w:suppressAutoHyphens w:val="0"/>
        <w:overflowPunct w:val="0"/>
        <w:autoSpaceDE w:val="0"/>
        <w:spacing w:after="120"/>
        <w:jc w:val="both"/>
        <w:textAlignment w:val="auto"/>
      </w:pPr>
      <w:r>
        <w:rPr>
          <w:rFonts w:eastAsia="Times New Roman" w:cs="Times New Roman"/>
          <w:b/>
          <w:kern w:val="0"/>
          <w:lang w:eastAsia="tr-TR" w:bidi="ar-SA"/>
        </w:rPr>
        <w:t>2.2.</w:t>
      </w:r>
      <w:r>
        <w:rPr>
          <w:rFonts w:eastAsia="Times New Roman" w:cs="Times New Roman"/>
          <w:kern w:val="0"/>
          <w:lang w:eastAsia="tr-TR" w:bidi="ar-SA"/>
        </w:rPr>
        <w:t xml:space="preserve"> Çerçeve ve baş bandı alev almaz ve yapışmaz nitelikte olacaktır.</w:t>
      </w:r>
    </w:p>
    <w:p w:rsidR="00B20618" w:rsidRDefault="0056283C">
      <w:pPr>
        <w:widowControl/>
        <w:suppressAutoHyphens w:val="0"/>
        <w:overflowPunct w:val="0"/>
        <w:autoSpaceDE w:val="0"/>
        <w:spacing w:after="120"/>
        <w:jc w:val="both"/>
        <w:textAlignment w:val="auto"/>
      </w:pPr>
      <w:r>
        <w:rPr>
          <w:rFonts w:eastAsia="Times New Roman" w:cs="Times New Roman"/>
          <w:b/>
          <w:kern w:val="0"/>
          <w:lang w:eastAsia="tr-TR" w:bidi="ar-SA"/>
        </w:rPr>
        <w:t>2.3.</w:t>
      </w:r>
      <w:r>
        <w:rPr>
          <w:rFonts w:eastAsia="Times New Roman" w:cs="Times New Roman"/>
          <w:kern w:val="0"/>
          <w:lang w:eastAsia="tr-TR" w:bidi="ar-SA"/>
        </w:rPr>
        <w:t xml:space="preserve"> E</w:t>
      </w:r>
      <w:r>
        <w:rPr>
          <w:rFonts w:eastAsia="Times New Roman" w:cs="Times New Roman"/>
          <w:kern w:val="0"/>
          <w:lang w:eastAsia="tr-TR" w:bidi="ar-SA"/>
        </w:rPr>
        <w:t xml:space="preserve">snek, net görüş sağlayan, lensi çift katmanlı (iç lens asetat, dış lens polikarbon) , çizilmeye karşı dayanıklı (N sembolü ile gösterilecek), anti fog/buğulanmaz (K sembolü ile gösterilecek) özellikte olacaktır. </w:t>
      </w:r>
    </w:p>
    <w:p w:rsidR="00B20618" w:rsidRDefault="0056283C">
      <w:pPr>
        <w:widowControl/>
        <w:suppressAutoHyphens w:val="0"/>
        <w:overflowPunct w:val="0"/>
        <w:autoSpaceDE w:val="0"/>
        <w:spacing w:after="120"/>
        <w:jc w:val="both"/>
        <w:textAlignment w:val="auto"/>
      </w:pPr>
      <w:r>
        <w:rPr>
          <w:rFonts w:eastAsia="Times New Roman" w:cs="Times New Roman"/>
          <w:b/>
          <w:kern w:val="0"/>
          <w:lang w:eastAsia="tr-TR" w:bidi="ar-SA"/>
        </w:rPr>
        <w:t>2.4.</w:t>
      </w:r>
      <w:r>
        <w:rPr>
          <w:rFonts w:eastAsia="Times New Roman" w:cs="Times New Roman"/>
          <w:kern w:val="0"/>
          <w:lang w:eastAsia="tr-TR" w:bidi="ar-SA"/>
        </w:rPr>
        <w:t xml:space="preserve"> Yanmaya dayanıklı gözlüğün çalışma esn</w:t>
      </w:r>
      <w:r>
        <w:rPr>
          <w:rFonts w:eastAsia="Times New Roman" w:cs="Times New Roman"/>
          <w:kern w:val="0"/>
          <w:lang w:eastAsia="tr-TR" w:bidi="ar-SA"/>
        </w:rPr>
        <w:t>asında baştan kayıp çıkmaması için baş bandı ayarlanabilir olacak ve baş bandının iç kısmı üzerinde şerit halinde silikon malzeme bulunacaktır.</w:t>
      </w:r>
    </w:p>
    <w:p w:rsidR="00B20618" w:rsidRDefault="0056283C">
      <w:pPr>
        <w:widowControl/>
        <w:suppressAutoHyphens w:val="0"/>
        <w:overflowPunct w:val="0"/>
        <w:autoSpaceDE w:val="0"/>
        <w:spacing w:after="120"/>
        <w:jc w:val="both"/>
        <w:textAlignment w:val="auto"/>
      </w:pPr>
      <w:r>
        <w:rPr>
          <w:rFonts w:eastAsia="Times New Roman" w:cs="Times New Roman"/>
          <w:b/>
          <w:kern w:val="0"/>
          <w:lang w:eastAsia="tr-TR" w:bidi="ar-SA"/>
        </w:rPr>
        <w:t>2.5.</w:t>
      </w:r>
      <w:r>
        <w:rPr>
          <w:rFonts w:eastAsia="Times New Roman" w:cs="Times New Roman"/>
          <w:kern w:val="0"/>
          <w:lang w:eastAsia="tr-TR" w:bidi="ar-SA"/>
        </w:rPr>
        <w:t xml:space="preserve"> Yanmaya dayanıklı gözlük TS EN 166 standartlarına uygun olacaktır. Bu husus yüklenici tarafından belgelendi</w:t>
      </w:r>
      <w:r>
        <w:rPr>
          <w:rFonts w:eastAsia="Times New Roman" w:cs="Times New Roman"/>
          <w:kern w:val="0"/>
          <w:lang w:eastAsia="tr-TR" w:bidi="ar-SA"/>
        </w:rPr>
        <w:t>rilecektir.</w:t>
      </w:r>
    </w:p>
    <w:p w:rsidR="00B20618" w:rsidRDefault="0056283C">
      <w:pPr>
        <w:widowControl/>
        <w:suppressAutoHyphens w:val="0"/>
        <w:overflowPunct w:val="0"/>
        <w:autoSpaceDE w:val="0"/>
        <w:spacing w:after="120"/>
        <w:jc w:val="both"/>
        <w:textAlignment w:val="auto"/>
      </w:pPr>
      <w:r>
        <w:rPr>
          <w:rFonts w:eastAsia="Times New Roman" w:cs="Times New Roman"/>
          <w:b/>
          <w:bCs/>
          <w:kern w:val="0"/>
          <w:lang w:eastAsia="tr-TR" w:bidi="ar-SA"/>
        </w:rPr>
        <w:t xml:space="preserve">2.6. </w:t>
      </w:r>
      <w:r>
        <w:rPr>
          <w:rFonts w:eastAsia="Times New Roman" w:cs="Times New Roman"/>
          <w:bCs/>
          <w:kern w:val="0"/>
          <w:lang w:eastAsia="tr-TR" w:bidi="ar-SA"/>
        </w:rPr>
        <w:t xml:space="preserve">Yanmaya dayanıklı </w:t>
      </w:r>
      <w:r>
        <w:rPr>
          <w:rFonts w:eastAsia="Times New Roman" w:cs="Times New Roman"/>
          <w:kern w:val="0"/>
          <w:lang w:eastAsia="tr-TR" w:bidi="ar-SA"/>
        </w:rPr>
        <w:t>gözlük çerçevesi, yüksek ısıya dayanıklı alev almaz termoplastik elastomer (TPE) malzemeden olacaktır.</w:t>
      </w:r>
    </w:p>
    <w:p w:rsidR="00B20618" w:rsidRDefault="0056283C">
      <w:pPr>
        <w:widowControl/>
        <w:suppressAutoHyphens w:val="0"/>
        <w:overflowPunct w:val="0"/>
        <w:autoSpaceDE w:val="0"/>
        <w:spacing w:after="120"/>
        <w:jc w:val="both"/>
        <w:textAlignment w:val="auto"/>
      </w:pPr>
      <w:r>
        <w:rPr>
          <w:rFonts w:eastAsia="Times New Roman" w:cs="Times New Roman"/>
          <w:b/>
          <w:bCs/>
          <w:kern w:val="0"/>
          <w:lang w:eastAsia="tr-TR" w:bidi="ar-SA"/>
        </w:rPr>
        <w:t xml:space="preserve">2.7. </w:t>
      </w:r>
      <w:r>
        <w:rPr>
          <w:rFonts w:eastAsia="Times New Roman" w:cs="Times New Roman"/>
          <w:bCs/>
          <w:kern w:val="0"/>
          <w:lang w:eastAsia="tr-TR" w:bidi="ar-SA"/>
        </w:rPr>
        <w:t xml:space="preserve">Yanmaya dayanıklı </w:t>
      </w:r>
      <w:r>
        <w:rPr>
          <w:rFonts w:eastAsia="Times New Roman" w:cs="Times New Roman"/>
          <w:kern w:val="0"/>
          <w:lang w:eastAsia="tr-TR" w:bidi="ar-SA"/>
        </w:rPr>
        <w:t xml:space="preserve">gözlük lensi üzerinde, CE işareti ve üretici firma ismi bulunacaktır. Ayrıca, lens üzerinde </w:t>
      </w:r>
      <w:r>
        <w:rPr>
          <w:rFonts w:eastAsia="Times New Roman" w:cs="Times New Roman"/>
          <w:kern w:val="0"/>
          <w:lang w:eastAsia="tr-TR" w:bidi="ar-SA"/>
        </w:rPr>
        <w:t>aşağıda açıklamaları da belirtilen 2C-1, 2 1 BT KN CE işaret yer alacaktır.</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Optik sınıf işareti (1 - Sürekli kullanım)</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Mekanik güç işareti (B - Darbe dayanımı)</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Yüksek sıcaklıklarda yüksek hızlı parçacıklara karşı </w:t>
      </w:r>
      <w:r>
        <w:rPr>
          <w:rFonts w:eastAsia="Times New Roman" w:cs="Times New Roman"/>
          <w:kern w:val="0"/>
          <w:lang w:eastAsia="tr-TR" w:bidi="ar-SA"/>
        </w:rPr>
        <w:t>kullanılabilme işareti (T)</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Diğer işaretler (K - Yüzey hasarlarına karşı dayanım; N – Buğulanmaya karşı dayanım)</w:t>
      </w:r>
    </w:p>
    <w:p w:rsidR="00B20618" w:rsidRDefault="0056283C">
      <w:pPr>
        <w:widowControl/>
        <w:suppressAutoHyphens w:val="0"/>
        <w:overflowPunct w:val="0"/>
        <w:autoSpaceDE w:val="0"/>
        <w:spacing w:after="120"/>
        <w:jc w:val="both"/>
        <w:textAlignment w:val="auto"/>
      </w:pPr>
      <w:r>
        <w:rPr>
          <w:rFonts w:eastAsia="Times New Roman" w:cs="Times New Roman"/>
          <w:b/>
          <w:bCs/>
          <w:kern w:val="0"/>
          <w:lang w:eastAsia="tr-TR" w:bidi="ar-SA"/>
        </w:rPr>
        <w:t xml:space="preserve">2.8. </w:t>
      </w:r>
      <w:r>
        <w:rPr>
          <w:rFonts w:eastAsia="Times New Roman" w:cs="Times New Roman"/>
          <w:bCs/>
          <w:kern w:val="0"/>
          <w:lang w:eastAsia="tr-TR" w:bidi="ar-SA"/>
        </w:rPr>
        <w:t xml:space="preserve">Yanmaya dayanıklı </w:t>
      </w:r>
      <w:r>
        <w:rPr>
          <w:rFonts w:eastAsia="Times New Roman" w:cs="Times New Roman"/>
          <w:kern w:val="0"/>
          <w:lang w:eastAsia="tr-TR" w:bidi="ar-SA"/>
        </w:rPr>
        <w:t>gözlük çerçevesi üzerinde, CE işareti ve EN 166 standardı bulunacaktır. Ayrıca, gözlük çerçevesi üzerinde aşağı</w:t>
      </w:r>
      <w:r>
        <w:rPr>
          <w:rFonts w:eastAsia="Times New Roman" w:cs="Times New Roman"/>
          <w:kern w:val="0"/>
          <w:lang w:eastAsia="tr-TR" w:bidi="ar-SA"/>
        </w:rPr>
        <w:t>da açıklamaları da belirtilen EN166 3 4 5 BT CE işaret olacaktır.</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Sıvı zerreciklere ve damlalara karşı kimyasal koruma seviyesi (3)</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Beş mikrondan büyük toz parçacıklarına karşı kimyasal koruma seviyesi (4)</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Gazlara ve beş mikronda</w:t>
      </w:r>
      <w:r>
        <w:rPr>
          <w:rFonts w:eastAsia="Times New Roman" w:cs="Times New Roman"/>
          <w:kern w:val="0"/>
          <w:lang w:eastAsia="tr-TR" w:bidi="ar-SA"/>
        </w:rPr>
        <w:t>n küçük toz parçacıklarına karşı kimyasal koruma seviyesi (5)</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Mekanik güç işareti (B - Darbe dayanımı)</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 Yüksek sıcaklıklarda yüksek hızlı parçacıklara karşı kullanılabilme işareti (T)</w:t>
      </w:r>
    </w:p>
    <w:p w:rsidR="00B20618" w:rsidRDefault="0056283C">
      <w:pPr>
        <w:widowControl/>
        <w:suppressAutoHyphens w:val="0"/>
        <w:overflowPunct w:val="0"/>
        <w:autoSpaceDE w:val="0"/>
        <w:spacing w:after="120"/>
        <w:jc w:val="both"/>
        <w:textAlignment w:val="auto"/>
        <w:rPr>
          <w:rFonts w:eastAsia="Times New Roman" w:cs="Times New Roman"/>
          <w:kern w:val="0"/>
          <w:lang w:eastAsia="tr-TR" w:bidi="ar-SA"/>
        </w:rPr>
      </w:pPr>
      <w:r>
        <w:rPr>
          <w:rFonts w:eastAsia="Times New Roman" w:cs="Times New Roman"/>
          <w:kern w:val="0"/>
          <w:lang w:eastAsia="tr-TR" w:bidi="ar-SA"/>
        </w:rPr>
        <w:t xml:space="preserve">       </w:t>
      </w:r>
    </w:p>
    <w:p w:rsidR="00B20618" w:rsidRDefault="00B20618">
      <w:pPr>
        <w:pStyle w:val="Standard"/>
        <w:jc w:val="both"/>
        <w:rPr>
          <w:rFonts w:eastAsia="Times New Roman" w:cs="Times New Roman"/>
          <w:kern w:val="0"/>
          <w:lang w:eastAsia="tr-TR" w:bidi="ar-SA"/>
        </w:rPr>
      </w:pPr>
    </w:p>
    <w:p w:rsidR="00B20618" w:rsidRDefault="00B20618">
      <w:pPr>
        <w:pStyle w:val="Standard"/>
        <w:jc w:val="both"/>
        <w:rPr>
          <w:rFonts w:eastAsia="Times New Roman" w:cs="Times New Roman"/>
          <w:kern w:val="0"/>
          <w:lang w:eastAsia="tr-TR" w:bidi="ar-SA"/>
        </w:rPr>
      </w:pPr>
    </w:p>
    <w:p w:rsidR="00B20618" w:rsidRDefault="00B20618">
      <w:pPr>
        <w:pStyle w:val="Standard"/>
        <w:jc w:val="both"/>
        <w:rPr>
          <w:rFonts w:eastAsia="Times New Roman" w:cs="Times New Roman"/>
          <w:w w:val="105"/>
        </w:rPr>
      </w:pPr>
    </w:p>
    <w:p w:rsidR="00B20618" w:rsidRDefault="00B20618">
      <w:pPr>
        <w:pStyle w:val="ListeParagraf"/>
        <w:overflowPunct w:val="0"/>
        <w:spacing w:after="200" w:line="276" w:lineRule="auto"/>
        <w:ind w:left="0" w:firstLine="709"/>
        <w:jc w:val="both"/>
        <w:rPr>
          <w:rFonts w:cs="Times New Roman"/>
          <w:b/>
          <w:sz w:val="24"/>
          <w:szCs w:val="24"/>
        </w:rPr>
      </w:pPr>
    </w:p>
    <w:p w:rsidR="00B20618" w:rsidRDefault="0056283C">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B20618" w:rsidRDefault="0056283C">
      <w:pPr>
        <w:pStyle w:val="Standard"/>
        <w:jc w:val="both"/>
      </w:pPr>
      <w:r>
        <w:rPr>
          <w:rFonts w:cs="Times New Roman"/>
          <w:b/>
          <w:bCs/>
        </w:rPr>
        <w:t>3.1.</w:t>
      </w:r>
      <w:r>
        <w:rPr>
          <w:rFonts w:cs="Times New Roman"/>
        </w:rPr>
        <w:t xml:space="preserve"> İstekli, teknik ş</w:t>
      </w:r>
      <w:r>
        <w:rPr>
          <w:rFonts w:cs="Times New Roman"/>
        </w:rPr>
        <w:t xml:space="preserve">artnamede belirtilen belgelerle birlikte teklif edeceği ürüne esas olmak üzere bir adet yanmaya dayanıklı gözlük numune olarak teklif ile birlikte idare yetkilisine teslim edecektir. Numuneyi teslim etmeyen veya fiziksel (görsel ve elle yapılacak) kontrol </w:t>
      </w:r>
      <w:r>
        <w:rPr>
          <w:rFonts w:cs="Times New Roman"/>
        </w:rPr>
        <w:t>sonucunda teknik şartnamede belirtilen özelliklere uygun olmayan numuneyi veren isteklilerin teklifleri değerlendirmeye alınmayacaktır.</w:t>
      </w:r>
    </w:p>
    <w:p w:rsidR="00B20618" w:rsidRDefault="00B20618">
      <w:pPr>
        <w:pStyle w:val="Standard"/>
        <w:jc w:val="both"/>
        <w:rPr>
          <w:rFonts w:cs="Times New Roman"/>
        </w:rPr>
      </w:pPr>
    </w:p>
    <w:p w:rsidR="00B20618" w:rsidRDefault="0056283C">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kuruluşlara,</w:t>
      </w:r>
      <w:r>
        <w:rPr>
          <w:rFonts w:cs="Times New Roman"/>
        </w:rPr>
        <w:t xml:space="preserve"> test masrafları yüklenici tarafından karşılanmak üzere şartnamede belirtilen değerleri karşılayıp karşılamadığını test ettirilebilecektir.</w:t>
      </w:r>
    </w:p>
    <w:p w:rsidR="00B20618" w:rsidRDefault="00B20618">
      <w:pPr>
        <w:pStyle w:val="Standard"/>
        <w:jc w:val="both"/>
        <w:rPr>
          <w:rFonts w:cs="Times New Roman"/>
        </w:rPr>
      </w:pPr>
    </w:p>
    <w:p w:rsidR="00B20618" w:rsidRDefault="0056283C">
      <w:pPr>
        <w:pStyle w:val="Standard"/>
        <w:tabs>
          <w:tab w:val="left" w:pos="421"/>
        </w:tabs>
        <w:jc w:val="both"/>
      </w:pPr>
      <w:r>
        <w:rPr>
          <w:rFonts w:cs="Times New Roman"/>
          <w:b/>
          <w:bCs/>
        </w:rPr>
        <w:t>3.3.</w:t>
      </w:r>
      <w:r>
        <w:rPr>
          <w:rFonts w:cs="Times New Roman"/>
          <w:b/>
          <w:bCs/>
        </w:rPr>
        <w:tab/>
      </w:r>
      <w:r>
        <w:rPr>
          <w:rFonts w:cs="Times New Roman"/>
        </w:rPr>
        <w:t xml:space="preserve">Yüklenici malzemelerin teslimi anında malzemelerle ilgili bağımsız kuruluşlardan (laboratuvarlardan) alınmış, </w:t>
      </w:r>
      <w:r>
        <w:rPr>
          <w:rFonts w:cs="Times New Roman"/>
        </w:rPr>
        <w:t xml:space="preserve">istenilen standartlara ve/veya CE şartlarına uygun olduklarını belirten sertifikaları ve belgeleri verecektir. CE işaretinin sağ alt köşesinde uygunluk değerlendirme işlemlerini yapan Onaylanmış Kuruluşun 4 haneli kimlik numarası bulunacaktır. </w:t>
      </w:r>
    </w:p>
    <w:p w:rsidR="00B20618" w:rsidRDefault="00B20618">
      <w:pPr>
        <w:pStyle w:val="Standard"/>
        <w:tabs>
          <w:tab w:val="left" w:pos="421"/>
        </w:tabs>
        <w:jc w:val="both"/>
        <w:rPr>
          <w:rFonts w:cs="Times New Roman"/>
        </w:rPr>
      </w:pPr>
    </w:p>
    <w:p w:rsidR="00B20618" w:rsidRDefault="0056283C">
      <w:pPr>
        <w:pStyle w:val="Standard"/>
        <w:jc w:val="both"/>
      </w:pPr>
      <w:r>
        <w:rPr>
          <w:rFonts w:cs="Times New Roman"/>
          <w:b/>
          <w:bCs/>
        </w:rPr>
        <w:t xml:space="preserve">3.4. </w:t>
      </w:r>
      <w:r>
        <w:rPr>
          <w:rFonts w:cs="Times New Roman"/>
        </w:rPr>
        <w:t>Alıma</w:t>
      </w:r>
      <w:r>
        <w:rPr>
          <w:rFonts w:cs="Times New Roman"/>
        </w:rPr>
        <w:t xml:space="preserve"> esas numuneler kesinlikle kullanılmamış olacak, defolu ve hatalı olmayacaktır.</w:t>
      </w:r>
    </w:p>
    <w:p w:rsidR="00B20618" w:rsidRDefault="00B20618">
      <w:pPr>
        <w:pStyle w:val="Standard"/>
        <w:tabs>
          <w:tab w:val="left" w:pos="421"/>
        </w:tabs>
        <w:jc w:val="both"/>
        <w:rPr>
          <w:rFonts w:cs="Times New Roman"/>
        </w:rPr>
      </w:pPr>
    </w:p>
    <w:p w:rsidR="00B20618" w:rsidRDefault="0056283C">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B20618" w:rsidRDefault="00B20618">
      <w:pPr>
        <w:pStyle w:val="Standard"/>
        <w:tabs>
          <w:tab w:val="left" w:pos="1134"/>
          <w:tab w:val="left" w:pos="1843"/>
          <w:tab w:val="left" w:pos="2127"/>
        </w:tabs>
        <w:jc w:val="both"/>
        <w:rPr>
          <w:rFonts w:cs="Times New Roman"/>
        </w:rPr>
      </w:pPr>
    </w:p>
    <w:p w:rsidR="00B20618" w:rsidRDefault="0056283C">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w:t>
      </w:r>
      <w:r>
        <w:rPr>
          <w:rFonts w:cs="Times New Roman"/>
        </w:rPr>
        <w:t>kabul tarihinden itibaren 2 (iki) yıl garantili olacaktır.</w:t>
      </w:r>
    </w:p>
    <w:p w:rsidR="00B20618" w:rsidRDefault="00B20618">
      <w:pPr>
        <w:pStyle w:val="Standard"/>
        <w:tabs>
          <w:tab w:val="left" w:pos="1134"/>
          <w:tab w:val="left" w:pos="1843"/>
          <w:tab w:val="left" w:pos="2127"/>
        </w:tabs>
        <w:jc w:val="both"/>
        <w:rPr>
          <w:rFonts w:cs="Times New Roman"/>
        </w:rPr>
      </w:pPr>
    </w:p>
    <w:p w:rsidR="00B20618" w:rsidRDefault="0056283C">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 xml:space="preserve">14 (ondört) </w:t>
      </w:r>
      <w:r>
        <w:rPr>
          <w:rFonts w:cs="Times New Roman"/>
          <w:color w:val="000000"/>
        </w:rPr>
        <w:t xml:space="preserve">maddeden ibarettir.  </w:t>
      </w:r>
    </w:p>
    <w:p w:rsidR="00B20618" w:rsidRDefault="0056283C">
      <w:pPr>
        <w:pStyle w:val="Standard"/>
        <w:tabs>
          <w:tab w:val="left" w:pos="1843"/>
          <w:tab w:val="left" w:pos="2127"/>
        </w:tabs>
        <w:jc w:val="both"/>
      </w:pPr>
      <w:r>
        <w:rPr>
          <w:rFonts w:cs="Times New Roman"/>
          <w:b/>
          <w:color w:val="000000"/>
        </w:rPr>
        <w:tab/>
      </w:r>
      <w:r>
        <w:rPr>
          <w:rFonts w:cs="Times New Roman"/>
          <w:b/>
          <w:color w:val="000000"/>
        </w:rPr>
        <w:tab/>
      </w:r>
      <w:r>
        <w:rPr>
          <w:rFonts w:cs="Times New Roman"/>
          <w:b/>
          <w:color w:val="000000"/>
        </w:rPr>
        <w:tab/>
      </w:r>
      <w:r>
        <w:rPr>
          <w:rFonts w:cs="Times New Roman"/>
          <w:b/>
          <w:color w:val="000000"/>
        </w:rPr>
        <w:tab/>
        <w:t xml:space="preserve">        </w:t>
      </w:r>
    </w:p>
    <w:sectPr w:rsidR="00B20618">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83C" w:rsidRDefault="0056283C">
      <w:r>
        <w:separator/>
      </w:r>
    </w:p>
  </w:endnote>
  <w:endnote w:type="continuationSeparator" w:id="0">
    <w:p w:rsidR="0056283C" w:rsidRDefault="005628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Albertus Medium">
    <w:charset w:val="00"/>
    <w:family w:val="swiss"/>
    <w:pitch w:val="variable"/>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AFF" w:rsidRDefault="0056283C">
    <w:pPr>
      <w:pStyle w:val="Altbilgi"/>
      <w:jc w:val="center"/>
    </w:pPr>
    <w:r>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1</w:t>
    </w:r>
    <w:r>
      <w:rPr>
        <w:rFonts w:ascii="Arial" w:hAnsi="Arial" w:cs="Arial"/>
        <w:sz w:val="22"/>
        <w:szCs w:val="22"/>
      </w:rPr>
      <w:fldChar w:fldCharType="end"/>
    </w:r>
    <w:r>
      <w:rPr>
        <w:rFonts w:ascii="Arial" w:hAnsi="Arial" w:cs="Arial"/>
        <w:sz w:val="22"/>
        <w:szCs w:val="22"/>
      </w:rPr>
      <w:t>-</w:t>
    </w:r>
  </w:p>
  <w:p w:rsidR="00412AFF" w:rsidRDefault="0056283C">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83C" w:rsidRDefault="0056283C">
      <w:r>
        <w:rPr>
          <w:color w:val="000000"/>
        </w:rPr>
        <w:separator/>
      </w:r>
    </w:p>
  </w:footnote>
  <w:footnote w:type="continuationSeparator" w:id="0">
    <w:p w:rsidR="0056283C" w:rsidRDefault="0056283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2AFF" w:rsidRDefault="0056283C">
    <w:pPr>
      <w:pStyle w:val="stbilgi"/>
    </w:pPr>
    <w:r>
      <w:rPr>
        <w:noProof/>
        <w:lang w:eastAsia="tr-TR" w:bidi="ar-SA"/>
      </w:rPr>
      <w:drawing>
        <wp:anchor distT="0" distB="0" distL="114300" distR="114300" simplePos="0" relativeHeight="251659264" behindDoc="0" locked="0" layoutInCell="1" allowOverlap="1">
          <wp:simplePos x="0" y="0"/>
          <wp:positionH relativeFrom="column">
            <wp:posOffset>5297174</wp:posOffset>
          </wp:positionH>
          <wp:positionV relativeFrom="paragraph">
            <wp:posOffset>-210897</wp:posOffset>
          </wp:positionV>
          <wp:extent cx="839876" cy="824038"/>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bright="-50000"/>
                    <a:alphaModFix/>
                  </a:blip>
                  <a:srcRect/>
                  <a:stretch>
                    <a:fillRect/>
                  </a:stretch>
                </pic:blipFill>
                <pic:spPr>
                  <a:xfrm>
                    <a:off x="0" y="0"/>
                    <a:ext cx="839876" cy="824038"/>
                  </a:xfrm>
                  <a:prstGeom prst="rect">
                    <a:avLst/>
                  </a:prstGeom>
                  <a:noFill/>
                  <a:ln>
                    <a:noFill/>
                    <a:prstDash/>
                  </a:ln>
                </pic:spPr>
              </pic:pic>
            </a:graphicData>
          </a:graphic>
        </wp:anchor>
      </w:drawing>
    </w:r>
  </w:p>
  <w:p w:rsidR="00412AFF" w:rsidRDefault="0056283C">
    <w:pPr>
      <w:pStyle w:val="stbilgi"/>
      <w:rPr>
        <w:lang w:eastAsia="tr-TR" w:bidi="ar-SA"/>
      </w:rPr>
    </w:pPr>
  </w:p>
  <w:p w:rsidR="00412AFF" w:rsidRDefault="0056283C">
    <w:pPr>
      <w:pStyle w:val="stbilgi"/>
    </w:pPr>
  </w:p>
  <w:p w:rsidR="00412AFF" w:rsidRDefault="0056283C">
    <w:pPr>
      <w:pStyle w:val="stbilgi"/>
    </w:pPr>
  </w:p>
  <w:p w:rsidR="00412AFF" w:rsidRDefault="0056283C">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FE297D"/>
    <w:multiLevelType w:val="multilevel"/>
    <w:tmpl w:val="9BC2D742"/>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FA94462"/>
    <w:multiLevelType w:val="multilevel"/>
    <w:tmpl w:val="313EA154"/>
    <w:styleLink w:val="WWNum8"/>
    <w:lvl w:ilvl="0">
      <w:start w:val="1"/>
      <w:numFmt w:val="upperLetter"/>
      <w:lvlText w:val="%1"/>
      <w:lvlJc w:val="left"/>
      <w:pPr>
        <w:ind w:left="720" w:hanging="360"/>
      </w:pPr>
    </w:lvl>
    <w:lvl w:ilvl="1">
      <w:start w:val="11"/>
      <w:numFmt w:val="upperLetter"/>
      <w:lvlText w:val="%1.%2"/>
      <w:lvlJc w:val="left"/>
      <w:pPr>
        <w:ind w:left="1080" w:hanging="360"/>
      </w:pPr>
      <w:rPr>
        <w:color w:val="363636"/>
        <w:w w:val="101"/>
        <w:sz w:val="21"/>
        <w:szCs w:val="21"/>
      </w:rPr>
    </w:lvl>
    <w:lvl w:ilvl="2">
      <w:numFmt w:val="bullet"/>
      <w:lvlText w:val="•"/>
      <w:lvlJc w:val="left"/>
      <w:pPr>
        <w:ind w:left="1440" w:hanging="306"/>
      </w:pPr>
      <w:rPr>
        <w:rFonts w:ascii="Times New Roman" w:hAnsi="Times New Roman" w:cs="Times New Roman"/>
        <w:color w:val="242424"/>
        <w:w w:val="162"/>
        <w:sz w:val="20"/>
        <w:szCs w:val="20"/>
      </w:rPr>
    </w:lvl>
    <w:lvl w:ilvl="3">
      <w:numFmt w:val="bullet"/>
      <w:lvlText w:val=""/>
      <w:lvlJc w:val="left"/>
      <w:pPr>
        <w:ind w:left="1800" w:hanging="360"/>
      </w:pPr>
      <w:rPr>
        <w:rFonts w:ascii="Times New Roman" w:hAnsi="Times New Roman" w:cs="Symbol"/>
      </w:rPr>
    </w:lvl>
    <w:lvl w:ilvl="4">
      <w:numFmt w:val="bullet"/>
      <w:lvlText w:val=""/>
      <w:lvlJc w:val="left"/>
      <w:pPr>
        <w:ind w:left="2160" w:hanging="360"/>
      </w:pPr>
      <w:rPr>
        <w:rFonts w:ascii="Times New Roman" w:hAnsi="Times New Roman" w:cs="Symbol"/>
      </w:rPr>
    </w:lvl>
    <w:lvl w:ilvl="5">
      <w:numFmt w:val="bullet"/>
      <w:lvlText w:val=""/>
      <w:lvlJc w:val="left"/>
      <w:pPr>
        <w:ind w:left="2520" w:hanging="360"/>
      </w:pPr>
      <w:rPr>
        <w:rFonts w:ascii="Times New Roman" w:hAnsi="Times New Roman" w:cs="Symbol"/>
      </w:rPr>
    </w:lvl>
    <w:lvl w:ilvl="6">
      <w:numFmt w:val="bullet"/>
      <w:lvlText w:val=""/>
      <w:lvlJc w:val="left"/>
      <w:pPr>
        <w:ind w:left="2880" w:hanging="360"/>
      </w:pPr>
      <w:rPr>
        <w:rFonts w:ascii="Times New Roman" w:hAnsi="Times New Roman" w:cs="Symbol"/>
      </w:rPr>
    </w:lvl>
    <w:lvl w:ilvl="7">
      <w:numFmt w:val="bullet"/>
      <w:lvlText w:val=""/>
      <w:lvlJc w:val="left"/>
      <w:pPr>
        <w:ind w:left="3240" w:hanging="360"/>
      </w:pPr>
      <w:rPr>
        <w:rFonts w:ascii="Times New Roman" w:hAnsi="Times New Roman" w:cs="Symbol"/>
      </w:rPr>
    </w:lvl>
    <w:lvl w:ilvl="8">
      <w:numFmt w:val="bullet"/>
      <w:lvlText w:val=""/>
      <w:lvlJc w:val="left"/>
      <w:pPr>
        <w:ind w:left="3600" w:hanging="360"/>
      </w:pPr>
      <w:rPr>
        <w:rFonts w:ascii="Times New Roman" w:hAnsi="Times New Roman" w:cs="Symbol"/>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B20618"/>
    <w:rsid w:val="0056283C"/>
    <w:rsid w:val="00B20618"/>
    <w:rsid w:val="00F72E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333A865-7A67-43BB-B06D-B24146C56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Balk4">
    <w:name w:val="heading 4"/>
    <w:basedOn w:val="Heading"/>
    <w:next w:val="Textbody"/>
    <w:pPr>
      <w:outlineLvl w:val="3"/>
    </w:pPr>
    <w:rPr>
      <w:rFonts w:ascii="Times New Roman" w:eastAsia="SimSu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eParagraf">
    <w:name w:val="List Paragraph"/>
    <w:basedOn w:val="Standard"/>
    <w:pPr>
      <w:ind w:left="720"/>
    </w:pPr>
    <w:rPr>
      <w:sz w:val="20"/>
      <w:szCs w:val="20"/>
    </w:rPr>
  </w:style>
  <w:style w:type="paragraph" w:customStyle="1" w:styleId="msobodytextindent3">
    <w:name w:val="msobodytextindent3"/>
    <w:basedOn w:val="Standard"/>
    <w:pPr>
      <w:ind w:left="2410" w:hanging="2410"/>
      <w:jc w:val="both"/>
    </w:pPr>
    <w:rPr>
      <w:rFonts w:ascii="Albertus Medium" w:hAnsi="Albertus Medium"/>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bilgi">
    <w:name w:val="header"/>
    <w:basedOn w:val="Standard"/>
    <w:pPr>
      <w:suppressLineNumbers/>
      <w:tabs>
        <w:tab w:val="center" w:pos="4819"/>
        <w:tab w:val="right" w:pos="9638"/>
      </w:tabs>
    </w:pPr>
  </w:style>
  <w:style w:type="character" w:customStyle="1" w:styleId="ListLabel54">
    <w:name w:val="ListLabel 54"/>
    <w:rPr>
      <w:color w:val="363636"/>
      <w:w w:val="101"/>
      <w:sz w:val="21"/>
      <w:szCs w:val="21"/>
    </w:rPr>
  </w:style>
  <w:style w:type="character" w:customStyle="1" w:styleId="ListLabel55">
    <w:name w:val="ListLabel 55"/>
    <w:rPr>
      <w:rFonts w:cs="Times New Roman"/>
      <w:color w:val="242424"/>
      <w:w w:val="162"/>
      <w:sz w:val="20"/>
      <w:szCs w:val="20"/>
    </w:rPr>
  </w:style>
  <w:style w:type="character" w:customStyle="1" w:styleId="ListLabel46">
    <w:name w:val="ListLabel 46"/>
    <w:rPr>
      <w:rFonts w:cs="Symbol"/>
    </w:rPr>
  </w:style>
  <w:style w:type="character" w:customStyle="1" w:styleId="apple-converted-space">
    <w:name w:val="apple-converted-space"/>
    <w:basedOn w:val="VarsaylanParagrafYazTipi"/>
  </w:style>
  <w:style w:type="paragraph" w:styleId="Altbilgi">
    <w:name w:val="footer"/>
    <w:basedOn w:val="Normal"/>
    <w:pPr>
      <w:tabs>
        <w:tab w:val="center" w:pos="4536"/>
        <w:tab w:val="right" w:pos="9072"/>
      </w:tabs>
    </w:pPr>
    <w:rPr>
      <w:szCs w:val="21"/>
    </w:rPr>
  </w:style>
  <w:style w:type="character" w:customStyle="1" w:styleId="AltbilgiChar">
    <w:name w:val="Altbilgi Char"/>
    <w:basedOn w:val="VarsaylanParagrafYazTipi"/>
    <w:rPr>
      <w:szCs w:val="21"/>
    </w:rPr>
  </w:style>
  <w:style w:type="numbering" w:customStyle="1" w:styleId="WWNum8">
    <w:name w:val="WWNum8"/>
    <w:basedOn w:val="ListeYok"/>
    <w:pPr>
      <w:numPr>
        <w:numId w:val="1"/>
      </w:numPr>
    </w:pPr>
  </w:style>
  <w:style w:type="numbering" w:customStyle="1" w:styleId="WWNum3">
    <w:name w:val="WWNum3"/>
    <w:basedOn w:val="ListeYok"/>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586</Words>
  <Characters>3342</Characters>
  <Application>Microsoft Office Word</Application>
  <DocSecurity>0</DocSecurity>
  <Lines>27</Lines>
  <Paragraphs>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GÜMRÜKÇÜ Mühendis</dc:creator>
  <cp:lastModifiedBy>MUSTAFA GÜMRÜKÇÜ Orman Mühendisi</cp:lastModifiedBy>
  <cp:revision>2</cp:revision>
  <cp:lastPrinted>2014-08-11T13:12:00Z</cp:lastPrinted>
  <dcterms:created xsi:type="dcterms:W3CDTF">2021-03-09T12:31:00Z</dcterms:created>
  <dcterms:modified xsi:type="dcterms:W3CDTF">2021-03-09T12:31:00Z</dcterms:modified>
</cp:coreProperties>
</file>