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2021/134609</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Göç İdaresi İl Müdürlüğü İÇİŞLERİ BAKANLIĞI GÖÇ İDARESİ GENEL MÜDÜRLÜĞÜ</w:t>
      </w:r>
      <w:r w:rsidRPr="00F46639">
        <w:rPr>
          <w:sz w:val="22"/>
          <w:szCs w:val="22"/>
        </w:rPr>
        <w:t xml:space="preserve"> tarafından ihaleye çıkartılmış bulunan </w:t>
      </w:r>
      <w:r w:rsidRPr="00F46639">
        <w:rPr>
          <w:i/>
          <w:sz w:val="22"/>
          <w:szCs w:val="22"/>
        </w:rPr>
        <w:t>Geri Gönderme Merkezi Nizamiye Binası</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Göç İdaresi İl Müdürlüğü İÇİŞLERİ BAKANLIĞI GÖÇ İDARESİ GENEL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