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KÜLTÜR VE SOSYAL İŞ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RGANİZASYON, ULUSAL BAYRAM, ETKİNLİK, ANMA VE KUTLAMA TÖRENLERİNDE KULLANILMAK ÜZERE BAYRAK, FLAMA VE APARATLARININ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