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KÜLTÜR VE SOSYAL İŞ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ORGANİZASYON, ULUSAL BAYRAM, ETKİNLİK, ANMA VE KUTLAMA TÖRENLERİNDE KULLANILMAK ÜZERE BAYRAK, FLAMA VE APARATLARININ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