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2020/83833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KUŞADASI BELEDİYESİ FEN İŞLERİ MÜDÜRLÜĞÜ</w:t>
      </w:r>
      <w:r w:rsidRPr="00F46639">
        <w:rPr>
          <w:sz w:val="22"/>
          <w:szCs w:val="22"/>
        </w:rPr>
        <w:t xml:space="preserve"> tarafından ihaleye çıkartılmış bulunan </w:t>
      </w:r>
      <w:r w:rsidRPr="00F46639">
        <w:rPr>
          <w:i/>
          <w:sz w:val="22"/>
          <w:szCs w:val="22"/>
        </w:rPr>
        <w:t>Türkmen Mahallesi Ve Balıkhane Meydanında Begonet, Granit, Bazalt Döşenmesi, Kompozit Cephe Kaplaması, Sıva Çatı Yalıtımı Yapımı Ve Boya Yapımı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KUŞADASI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