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2021 Bilgisayarlı Tomografi Raporlama Hizmeti 24 Aylık (Mesai Saatleri Dışında Ve Resmi Tatillerde Olmak Üzere )</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