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2020/586619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KARACASU BELEDİYESİ FEN İŞLERİ MÜDÜRLÜĞÜ</w:t>
      </w:r>
      <w:r w:rsidRPr="00F46639">
        <w:rPr>
          <w:sz w:val="22"/>
          <w:szCs w:val="22"/>
        </w:rPr>
        <w:t xml:space="preserve"> tarafından ihaleye çıkartılmış bulunan </w:t>
      </w:r>
      <w:r w:rsidRPr="00F46639">
        <w:rPr>
          <w:i/>
          <w:sz w:val="22"/>
          <w:szCs w:val="22"/>
        </w:rPr>
        <w:t>AYDIN İLİ KARACASU İLÇESİ KÜÇÜKDAĞLI MAHALLESİ 120 ADA 14 PARSEL PARK VE ÇOCUK OYUN ALANI KENTSEL TASARIM VE PEYZAJ DÜZENLENMESİ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KARACASU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