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2020/582824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2 adet otobüs en az 45 kişilik 249 iş günü (Ziraat Fakültesi)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498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16 adet midibüs en az 27 kişilik 249 iş günü (Veterinerlik Fakültesi/Merkez Kampüs)</w:t>
            </w:r>
          </w:p>
        </w:tc>
        <w:tc>
          <w:tcPr>
            <w:tcW w:w="0" w:type="auto"/>
          </w:tcPr>
          <w:p w:rsidR="00923F45" w:rsidRPr="00A51BF9" w:rsidRDefault="00923F45" w:rsidP="004E73E2">
            <w:pPr>
              <w:pStyle w:val="stBilgi"/>
              <w:rPr>
                <w:sz w:val="20"/>
              </w:rPr>
            </w:pPr>
            <w:r w:rsidRPr="00A51BF9">
              <w:rPr>
                <w:rFonts w:ascii="Calibri" w:eastAsia="SimSun" w:hAnsi="Calibri" w:cs="Arial"/>
                <w:sz w:val="20"/>
              </w:rPr>
              <w:t>adet x 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3.984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