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2020/548712</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Uygulama ve Araştırma Hastanesi YÜKSEKÖĞRETİM KURUMLARI AYDIN ADNAN MENDERES ÜNİVERSİTESİ</w:t>
      </w:r>
      <w:r w:rsidRPr="00F46639">
        <w:rPr>
          <w:sz w:val="22"/>
          <w:szCs w:val="22"/>
        </w:rPr>
        <w:t xml:space="preserve"> tarafından ihaleye çıkartılmış bulunan </w:t>
      </w:r>
      <w:r w:rsidRPr="00F46639">
        <w:rPr>
          <w:i/>
          <w:sz w:val="22"/>
          <w:szCs w:val="22"/>
        </w:rPr>
        <w:t>JENERATÖR SENKRONİZASYON VE KONTROL PANOSU BAKIM VE ONARIM İŞİ</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Uygulama ve Araştırma Hastanesi YÜKSEKÖĞRETİM KURUMLARI AYDIN ADNAN MENDERES ÜNİVERSİTESİ</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