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YÜKSEKÖĞRETİM KURUMLARI AYDIN ADNAN MENDERES ÜNİVERSİTESİ HASTAN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 Yıllık Genetik Hastalıkları Değerlendirme Merkezi Sonuç Karşılığı Yerinde Hizmet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