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2020/497701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Karacasu Orman İşletme Şefliği 435 ve Karlık Orman İşletme Şefliği 301 Kod Nolu Yollarda Üst Yapı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