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2020/459774</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11'İNCİ KOMD.TUG. SÖKE K.YRD.LIĞI MİLLİ SAVUNMA BAKANLIĞI MSB BAĞLILARI</w:t>
      </w:r>
      <w:r w:rsidRPr="008C6A16">
        <w:rPr>
          <w:sz w:val="22"/>
          <w:szCs w:val="22"/>
        </w:rPr>
        <w:t xml:space="preserve"> tarafından ihaleye çıkartılmış bulunan </w:t>
      </w:r>
      <w:r w:rsidRPr="008C6A16">
        <w:rPr>
          <w:i/>
          <w:color w:val="808080"/>
          <w:sz w:val="20"/>
        </w:rPr>
        <w:t>2 Kısım Kışlık Meyve, Sebze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11'İNCİ KOMD.TUG. SÖKE K.YRD.LIĞI MİLLİ SAVUNMA BAKANLIĞI MSB BAĞLILARI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