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2020/452399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Laboratuvarda çalışmak üzere personel Brüt asgari ücret(Brüt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İmmünohistokimyasal (Antikor ve Tüm Sarf Dahil) kit -SUT KODU : 911.180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test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