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2019/729168</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6 Ay süreyle Temizlik Hizmet Alımı (yemek ve yol dahil)(Brüt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6 Ay süreyle Temizlik Hizmet Alımı (yemek dahil)(Brüt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3</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6</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