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2019/614526</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UYGULAMA VE ARAŞTIRMA HASTANESİ YÜKSEKÖĞRETİM KURUMLARI ADNAN MENDERES ÜNİVERSİTESİ</w:t>
      </w:r>
      <w:r w:rsidRPr="008C6A16">
        <w:rPr>
          <w:sz w:val="22"/>
          <w:szCs w:val="22"/>
        </w:rPr>
        <w:t xml:space="preserve"> tarafından ihaleye çıkartılmış bulunan </w:t>
      </w:r>
      <w:r w:rsidRPr="008C6A16">
        <w:rPr>
          <w:i/>
          <w:color w:val="808080"/>
          <w:sz w:val="20"/>
        </w:rPr>
        <w:t>2020 YILI NEFROLOJİ İHTİYACI 5 KALEM TIBBİ SARF MALZEME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UYGULAMA VE ARAŞTIRMA HASTANESİ YÜKSEKÖĞRETİM KURUMLARI ADNAN MENDERES ÜNİVERSİTESİ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