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2019/582189</w:t>
      </w:r>
    </w:p>
    <w:p w:rsidR="000E6380" w:rsidRPr="00DC723F" w:rsidRDefault="000E6380" w:rsidP="000E6380">
      <w:r w:rsidR="00D853EB" w:rsidRPr="00D853EB">
        <w:rPr>
          <w:rStyle w:val="Parahead"/>
          <w:b/>
          <w:bCs/>
          <w:spacing w:val="-2"/>
        </w:rPr>
        <w:t>ENGELLİ VE YAŞLI HİZMETLERİ GENEL MÜDÜRLÜĞÜNE BAĞLI KURULUŞLAR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Araç sürücü gideri(İşçi ücreti, sigorta prim giderleri,Aylık 26 Gün üzerinden Günlük Brüt 6,00  TL  yol ücreti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8,00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Huzurevi YBRM Müdürlüğü 16+1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Huzurevi YBRM Müdürlüğü 14+1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Haluk Alıcık Huzurevi Müdürlüğü 14+1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Atça Bakım ve Rehabilitasyon Merkezi Müdürlüğü 14+1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Akbük Huzurevi Müdürlüğü  16+1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Hilmi Fırat Huzurevi Müdürlüğü 9+1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Horsunlu Huzurevi YBRM Müdürlüğü Asansörlü 14+1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Pamukören Bakım ve Rehabilitasyon Merkezi Müdürlüğü Asansörlü 14+1 Kişilik Minibüs Araç Kiralama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Ulusal, Dini Bayram ve Resmi Tatillerde Araç Sürücüsü Çalışma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124,000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AİLE VE TOPLUM HİZMETLERİ GENEL MÜDÜRLÜĞÜNE BAĞLI ARAÇLAR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Araç sürücü gideri(İşçi ücreti, sigorta prim giderleri,Aylık 22 Gün üzerinden Günlük  Brüt 6,00  TL  yol günlük  brüt 10,00 TL yemek ücreti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EFELER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ÇİNE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8</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SÖKE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9</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10</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NAZİLLİ SOSYAL HİZMET MERKEZİ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ÇOCUK HİZMETLERİ GENEL MÜDÜRLÜĞÜNE BAĞLI KURULUŞLAR</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Araç sürücü gideri(İşçi ücreti, sigorta prim giderleri,Aylık 26 Gün üzerinden Günlük Brüt 6,00  TL  yol  ve Günlük brüt 10,00 TL yemek ücreti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Araç sürücü gideri(İşçi ücreti, sigorta prim giderleri,Aylık 26 Gün üzerinden Günlük  Brüt 6,00 TL yol ücreti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EVLERİ KOORDİNASYON MERKEZİ MÜDÜRLÜĞÜ 14+1 KİŞİLİK MİNİBÜS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EVLERİ KOORDİNASYON MERKEZİ MÜDÜRLÜĞÜ 16+1 KİŞİLİK MİNİBÜS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ÇOCUK EVLERİ SİTESİ MÜDÜRLÜĞÜ 14+1 KİŞİLİK MİNİBÜS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Ulusal, Dini Bayram ve Resmi Tatillerde Araç Sürücüsü Çalışma Gideri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31,000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STRATEJİ GELİŞTİRMA BAŞKANLIĞINA BAĞLI KURULUŞ</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6F6336" w:rsidRPr="00DC723F" w:rsidTr="007A5B11">
        <w:trPr>
          <w:trHeight w:val="269"/>
          <w:jc w:val="center"/>
        </w:trPr>
        <w:tc>
          <w:tcPr>
            <w:tcW w:w="551" w:type="dxa"/>
            <w:vMerge w:val="restart"/>
            <w:tcBorders>
              <w:top w:val="single" w:sz="6" w:space="0" w:color="auto"/>
              <w:left w:val="single" w:sz="12" w:space="0" w:color="auto"/>
              <w:right w:val="single" w:sz="6" w:space="0" w:color="auto"/>
            </w:tcBorders>
            <w:shd w:val="clear" w:color="auto" w:fill="auto"/>
          </w:tcPr>
          <w:p w:rsidR="006F6336" w:rsidRPr="006806FB" w:rsidRDefault="00D853EB" w:rsidP="0012093D">
            <w:pPr>
              <w:pStyle w:val="Header"/>
              <w:tabs>
                <w:tab w:val="left" w:pos="708"/>
              </w:tabs>
              <w:rPr>
                <w:b/>
                <w:sz w:val="20"/>
              </w:rPr>
            </w:pPr>
            <w:r w:rsidRPr="00DC723F">
              <w:rPr>
                <w:b/>
                <w:sz w:val="18"/>
              </w:rPr>
              <w:t>Sıra No</w:t>
            </w:r>
          </w:p>
        </w:tc>
        <w:tc>
          <w:tcPr>
            <w:tcW w:w="3461" w:type="dxa"/>
            <w:vMerge w:val="restart"/>
            <w:tcBorders>
              <w:top w:val="single" w:sz="6" w:space="0" w:color="auto"/>
              <w:left w:val="single" w:sz="6" w:space="0" w:color="auto"/>
              <w:right w:val="single" w:sz="6" w:space="0" w:color="auto"/>
            </w:tcBorders>
            <w:shd w:val="clear" w:color="auto" w:fill="auto"/>
          </w:tcPr>
          <w:p w:rsidR="006F6336" w:rsidRDefault="006F6336" w:rsidP="0012093D">
            <w:pPr>
              <w:pStyle w:val="Header"/>
              <w:rPr>
                <w:b/>
                <w:sz w:val="18"/>
              </w:rPr>
            </w:pPr>
          </w:p>
          <w:p w:rsidR="006F6336" w:rsidRPr="006806FB" w:rsidRDefault="006F6336" w:rsidP="00C35E43">
            <w:pPr>
              <w:pStyle w:val="Header"/>
              <w:rPr>
                <w:sz w:val="20"/>
              </w:rPr>
            </w:pPr>
            <w:r>
              <w:rPr>
                <w:b/>
                <w:sz w:val="18"/>
              </w:rPr>
              <w:t xml:space="preserve">     </w:t>
            </w:r>
            <w:r w:rsidRPr="00DC723F">
              <w:rPr>
                <w:b/>
                <w:sz w:val="18"/>
              </w:rPr>
              <w:t>İş Kaleminin Adı ve Kısa Açıklaması</w:t>
            </w:r>
            <w:r w:rsidR="00C35E43">
              <w:rPr>
                <w:szCs w:val="24"/>
                <w:vertAlign w:val="superscript"/>
              </w:rPr>
              <w:t>3</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6806FB" w:rsidRDefault="006F6336" w:rsidP="0012093D">
            <w:pPr>
              <w:pStyle w:val="Header"/>
              <w:rPr>
                <w:sz w:val="20"/>
              </w:rPr>
            </w:pP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6F6336" w:rsidRPr="006806FB" w:rsidRDefault="006F6336" w:rsidP="0012093D">
            <w:pPr>
              <w:pStyle w:val="Header"/>
              <w:rPr>
                <w:sz w:val="20"/>
                <w:vertAlign w:val="superscript"/>
              </w:rPr>
            </w:pPr>
            <w:r w:rsidRPr="006806FB">
              <w:rPr>
                <w:b/>
                <w:sz w:val="20"/>
              </w:rPr>
              <w:t xml:space="preserve">        Miktarı</w:t>
            </w:r>
          </w:p>
        </w:tc>
        <w:tc>
          <w:tcPr>
            <w:tcW w:w="1352"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jc w:val="center"/>
              <w:rPr>
                <w:b/>
                <w:sz w:val="18"/>
              </w:rPr>
            </w:pPr>
          </w:p>
          <w:p w:rsidR="006F6336" w:rsidRPr="006806FB" w:rsidRDefault="006F6336" w:rsidP="0012093D">
            <w:pPr>
              <w:pStyle w:val="Header"/>
              <w:jc w:val="center"/>
              <w:rPr>
                <w:b/>
                <w:sz w:val="20"/>
              </w:rPr>
            </w:pPr>
            <w:r w:rsidRPr="00DC723F">
              <w:rPr>
                <w:b/>
                <w:sz w:val="18"/>
              </w:rPr>
              <w:t xml:space="preserve">Teklif </w:t>
            </w:r>
            <w:proofErr w:type="gramStart"/>
            <w:r w:rsidRPr="00DC723F">
              <w:rPr>
                <w:b/>
                <w:sz w:val="18"/>
              </w:rPr>
              <w:t>Edilen</w:t>
            </w:r>
            <w:r w:rsidR="000378D8">
              <w:rPr>
                <w:szCs w:val="24"/>
                <w:vertAlign w:val="superscript"/>
              </w:rPr>
              <w:t>4</w:t>
            </w:r>
            <w:r w:rsidRPr="00DC723F">
              <w:rPr>
                <w:b/>
                <w:sz w:val="18"/>
              </w:rPr>
              <w:t xml:space="preserve"> </w:t>
            </w:r>
            <w:r>
              <w:rPr>
                <w:b/>
                <w:sz w:val="18"/>
              </w:rPr>
              <w:t xml:space="preserve">      </w:t>
            </w:r>
            <w:r w:rsidRPr="00DC723F">
              <w:rPr>
                <w:b/>
                <w:sz w:val="18"/>
              </w:rPr>
              <w:t>Birim</w:t>
            </w:r>
            <w:proofErr w:type="gramEnd"/>
            <w:r w:rsidRPr="00DC723F">
              <w:rPr>
                <w:b/>
                <w:sz w:val="18"/>
              </w:rPr>
              <w:t xml:space="preserve"> Fiyat</w:t>
            </w:r>
          </w:p>
        </w:tc>
        <w:tc>
          <w:tcPr>
            <w:tcW w:w="1284" w:type="dxa"/>
            <w:vMerge w:val="restart"/>
            <w:tcBorders>
              <w:top w:val="single" w:sz="6" w:space="0" w:color="auto"/>
              <w:left w:val="single" w:sz="12" w:space="0" w:color="auto"/>
              <w:right w:val="single" w:sz="12" w:space="0" w:color="auto"/>
            </w:tcBorders>
            <w:shd w:val="clear" w:color="auto" w:fill="auto"/>
          </w:tcPr>
          <w:p w:rsidR="006F6336" w:rsidRDefault="006F6336" w:rsidP="0012093D">
            <w:pPr>
              <w:pStyle w:val="Header"/>
              <w:rPr>
                <w:b/>
                <w:sz w:val="18"/>
              </w:rPr>
            </w:pPr>
            <w:r>
              <w:rPr>
                <w:b/>
                <w:sz w:val="18"/>
              </w:rPr>
              <w:t xml:space="preserve">         </w:t>
            </w:r>
          </w:p>
          <w:p w:rsidR="006F6336" w:rsidRPr="006806FB" w:rsidRDefault="006F6336" w:rsidP="0012093D">
            <w:pPr>
              <w:pStyle w:val="Header"/>
              <w:rPr>
                <w:b/>
                <w:sz w:val="20"/>
              </w:rPr>
            </w:pPr>
            <w:r>
              <w:rPr>
                <w:b/>
                <w:sz w:val="18"/>
              </w:rPr>
              <w:t xml:space="preserve">        </w:t>
            </w:r>
            <w:r w:rsidRPr="00DC723F">
              <w:rPr>
                <w:b/>
                <w:sz w:val="18"/>
              </w:rPr>
              <w:t>Tutarı</w:t>
            </w:r>
          </w:p>
        </w:tc>
      </w:tr>
      <w:tr w:rsidR="006F6336" w:rsidRPr="00DC723F" w:rsidTr="007A5B11">
        <w:trPr>
          <w:trHeight w:val="455"/>
          <w:jc w:val="center"/>
        </w:trPr>
        <w:tc>
          <w:tcPr>
            <w:tcW w:w="551" w:type="dxa"/>
            <w:vMerge/>
            <w:tcBorders>
              <w:left w:val="single" w:sz="12" w:space="0" w:color="auto"/>
              <w:bottom w:val="single" w:sz="6" w:space="0" w:color="auto"/>
              <w:right w:val="single" w:sz="6" w:space="0" w:color="auto"/>
            </w:tcBorders>
            <w:shd w:val="clear" w:color="auto" w:fill="auto"/>
          </w:tcPr>
          <w:p w:rsidR="006F6336" w:rsidRPr="00DC723F" w:rsidRDefault="006F6336" w:rsidP="0012093D">
            <w:pPr>
              <w:pStyle w:val="Header"/>
              <w:tabs>
                <w:tab w:val="left" w:pos="708"/>
              </w:tabs>
              <w:rPr>
                <w:sz w:val="20"/>
              </w:rPr>
            </w:pPr>
          </w:p>
        </w:tc>
        <w:tc>
          <w:tcPr>
            <w:tcW w:w="3461" w:type="dxa"/>
            <w:vMerge/>
            <w:tcBorders>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6F6336" w:rsidRPr="00DC723F" w:rsidRDefault="006F6336" w:rsidP="0012093D">
            <w:pPr>
              <w:pStyle w:val="Header"/>
              <w:rPr>
                <w:sz w:val="20"/>
              </w:rPr>
            </w:pPr>
            <w:r w:rsidRPr="00DC723F">
              <w:rPr>
                <w:b/>
                <w:sz w:val="18"/>
              </w:rPr>
              <w:t>Birimi</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İşçi sayısı</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6F6336" w:rsidRPr="00A13F8F" w:rsidRDefault="006F6336" w:rsidP="0012093D">
            <w:pPr>
              <w:pStyle w:val="Header"/>
              <w:rPr>
                <w:b/>
                <w:sz w:val="20"/>
              </w:rPr>
            </w:pPr>
            <w:r w:rsidRPr="00A13F8F">
              <w:rPr>
                <w:b/>
                <w:sz w:val="20"/>
              </w:rPr>
              <w:t>Ay/gün/saat</w:t>
            </w:r>
          </w:p>
        </w:tc>
        <w:tc>
          <w:tcPr>
            <w:tcW w:w="1352"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c>
          <w:tcPr>
            <w:tcW w:w="1284" w:type="dxa"/>
            <w:vMerge/>
            <w:tcBorders>
              <w:left w:val="single" w:sz="12" w:space="0" w:color="auto"/>
              <w:bottom w:val="single" w:sz="6" w:space="0" w:color="auto"/>
              <w:right w:val="single" w:sz="12" w:space="0" w:color="auto"/>
            </w:tcBorders>
            <w:shd w:val="clear" w:color="auto" w:fill="auto"/>
          </w:tcPr>
          <w:p w:rsidR="006F6336" w:rsidRPr="00DC723F" w:rsidRDefault="006F6336" w:rsidP="0012093D">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rPr>
                <w:sz w:val="20"/>
              </w:rPr>
            </w:pPr>
            <w:r>
              <w:rPr>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E12AE" w:rsidRDefault="00923F45" w:rsidP="00923F45">
            <w:pPr>
              <w:pStyle w:val="Header"/>
              <w:overflowPunct/>
              <w:autoSpaceDE/>
              <w:autoSpaceDN/>
              <w:adjustRightInd/>
              <w:textAlignment w:val="auto"/>
              <w:rPr>
                <w:rFonts w:ascii="Calibri" w:eastAsia="SimSun" w:hAnsi="Calibri" w:cs="Arial"/>
                <w:noProof/>
                <w:sz w:val="20"/>
                <w:szCs w:val="22"/>
                <w:lang w:eastAsia="zh-HK"/>
              </w:rPr>
            </w:pPr>
            <w:r w:rsidRPr="000E12AE">
              <w:rPr>
                <w:rFonts w:ascii="Calibri" w:eastAsia="SimSun" w:hAnsi="Calibri" w:cs="Arial"/>
                <w:noProof/>
                <w:sz w:val="20"/>
                <w:szCs w:val="22"/>
                <w:lang w:eastAsia="zh-HK"/>
              </w:rPr>
              <w:t>Araç sürücü gideri(İşçi ücreti, sigorta prim giderleri,Aylık 22 Gün üzerinden  Günlük Brüt 6,00  TL  yol  Günlük brüt 10,00 TL yemek ücreti  dahil)(Brüt asgari ücret)</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r>
              <w:rPr>
                <w:sz w:val="20"/>
              </w:rPr>
              <w:t>Ay</w:t>
            </w:r>
          </w:p>
        </w:tc>
        <w:tc>
          <w:tcPr>
            <w:tcW w:w="687"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2,00</w:t>
            </w:r>
          </w:p>
        </w:tc>
        <w:tc>
          <w:tcPr>
            <w:tcW w:w="1200"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r>
              <w:rPr>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372"/>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9D71EB" w:rsidP="009D71EB">
            <w:pPr>
              <w:rPr>
                <w:sz w:val="20"/>
                <w:vertAlign w:val="superscript"/>
              </w:rPr>
            </w:pPr>
            <w:r w:rsidRPr="009D71EB">
              <w:rPr>
                <w:b/>
                <w:sz w:val="20"/>
              </w:rPr>
              <w:t xml:space="preserve">  </w:t>
            </w:r>
            <w:r>
              <w:rPr>
                <w:sz w:val="20"/>
              </w:rPr>
              <w:t xml:space="preserve">                                                                                                    </w:t>
            </w:r>
            <w:r w:rsidRPr="009D71EB">
              <w:rPr>
                <w:b/>
                <w:bCs/>
                <w:sz w:val="20"/>
              </w:rPr>
              <w:t>I. ARA TOPLAM</w:t>
            </w:r>
            <w:r>
              <w:rPr>
                <w:sz w:val="20"/>
              </w:rPr>
              <w:t xml:space="preserve"> </w:t>
            </w:r>
            <w:r w:rsidR="00923F45" w:rsidRPr="00DC723F">
              <w:rPr>
                <w:sz w:val="20"/>
              </w:rPr>
              <w:t>(K.D.V Hariç)</w:t>
            </w:r>
            <w:r w:rsidR="00923F45">
              <w:rPr>
                <w:sz w:val="20"/>
                <w:vertAlign w:val="superscript"/>
              </w:rPr>
              <w:t>5</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Aile,Çalışma ve sosyal Hizmetler İl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Aile,Çalışma ve sosyal Hizmetler İl Müdürlüğü 4+1 Pick-Up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Aydın Aile,Çalışma ve Sosyal Hizmetler İl Müdürlüğü 4+1 Binek Tipi Araç Kiralama Ücreti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ay</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trHeight w:val="277"/>
          <w:jc w:val="center"/>
        </w:trPr>
        <w:tc>
          <w:tcPr>
            <w:tcW w:w="8088" w:type="dxa"/>
            <w:gridSpan w:val="6"/>
            <w:tcBorders>
              <w:top w:val="single" w:sz="6" w:space="0" w:color="auto"/>
              <w:left w:val="single" w:sz="12" w:space="0" w:color="auto"/>
              <w:bottom w:val="single" w:sz="6" w:space="0" w:color="auto"/>
              <w:right w:val="single" w:sz="6" w:space="0" w:color="auto"/>
            </w:tcBorders>
            <w:shd w:val="clear" w:color="auto" w:fill="auto"/>
          </w:tcPr>
          <w:p w:rsidR="00923F45" w:rsidRPr="000B57D5" w:rsidRDefault="0074346B" w:rsidP="00AB3064">
            <w:pPr>
              <w:rPr>
                <w:sz w:val="20"/>
                <w:vertAlign w:val="superscript"/>
              </w:rPr>
            </w:pPr>
            <w:r>
              <w:rPr>
                <w:b/>
                <w:bCs/>
                <w:sz w:val="20"/>
              </w:rPr>
              <w:t xml:space="preserve">                                                                   </w:t>
            </w:r>
            <w:r w:rsidR="00582060">
              <w:rPr>
                <w:b/>
                <w:bCs/>
                <w:sz w:val="20"/>
              </w:rPr>
              <w:t xml:space="preserve">                               </w:t>
            </w:r>
            <w:r w:rsidR="00AB3064" w:rsidRPr="00AB3064">
              <w:rPr>
                <w:b/>
                <w:bCs/>
                <w:sz w:val="20"/>
              </w:rPr>
              <w:t>II.  ARA TOPLAM</w:t>
            </w:r>
            <w:r w:rsidR="00AB3064">
              <w:rPr>
                <w:sz w:val="20"/>
              </w:rPr>
              <w:t xml:space="preserve"> </w:t>
            </w:r>
            <w:r w:rsidR="00923F45">
              <w:rPr>
                <w:sz w:val="20"/>
              </w:rPr>
              <w:t>(K.D.V. Hariç)</w:t>
            </w:r>
            <w:r w:rsidR="00923F45" w:rsidRPr="000B57D5">
              <w:rPr>
                <w:szCs w:val="24"/>
                <w:vertAlign w:val="superscript"/>
              </w:rPr>
              <w:t>7</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