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DF4B5" w14:textId="77777777" w:rsidR="0036391C" w:rsidRDefault="0036391C" w:rsidP="0036391C">
      <w:pPr>
        <w:pStyle w:val="NormalWeb"/>
      </w:pPr>
      <w:r>
        <w:rPr>
          <w:rStyle w:val="Strong"/>
        </w:rPr>
        <w:t>Gürcistan Hükümetinin</w:t>
      </w:r>
      <w:r>
        <w:br/>
      </w:r>
      <w:r>
        <w:rPr>
          <w:rStyle w:val="Strong"/>
        </w:rPr>
        <w:t>Kararı №18</w:t>
      </w:r>
      <w:r>
        <w:br/>
      </w:r>
      <w:r>
        <w:rPr>
          <w:rStyle w:val="Strong"/>
        </w:rPr>
        <w:t>22 Ocak 2025</w:t>
      </w:r>
      <w:r>
        <w:br/>
      </w:r>
      <w:r>
        <w:rPr>
          <w:rStyle w:val="Strong"/>
        </w:rPr>
        <w:t>Tiflis</w:t>
      </w:r>
    </w:p>
    <w:p w14:paraId="762A0FB1" w14:textId="77777777" w:rsidR="0036391C" w:rsidRPr="0036391C" w:rsidRDefault="0036391C" w:rsidP="005E7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Gürcistan Hükümeti</w:t>
      </w: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639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Karar No: 18</w:t>
      </w: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639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22 Ocak 2025</w:t>
      </w: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639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Tiflis</w:t>
      </w:r>
    </w:p>
    <w:p w14:paraId="46A8EA4B" w14:textId="77777777" w:rsidR="0036391C" w:rsidRPr="0036391C" w:rsidRDefault="0036391C" w:rsidP="005E7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Yol Kenarı Bölgesinde Yol Denetimi Kuralının Onaylanması Hakkında</w:t>
      </w:r>
    </w:p>
    <w:p w14:paraId="593115C9" w14:textId="77777777" w:rsidR="0036391C" w:rsidRPr="0036391C" w:rsidRDefault="0036391C" w:rsidP="005E7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</w:t>
      </w: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“Karayolu Trafiği Hakkında” Gürcistan Kanununun 111. maddesi uyarınca, ekte sunulan “Yol Kenarı Bölgesinde Yol Denetimi Kuralı” onaylanmıştır.</w:t>
      </w:r>
    </w:p>
    <w:p w14:paraId="4B1DB85B" w14:textId="77777777" w:rsidR="0036391C" w:rsidRPr="0036391C" w:rsidRDefault="0036391C" w:rsidP="005E7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</w:t>
      </w: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karar yayımlandığı andan itibaren yürülüğe girer.</w:t>
      </w:r>
    </w:p>
    <w:p w14:paraId="4E3649F5" w14:textId="77777777" w:rsidR="0036391C" w:rsidRPr="0036391C" w:rsidRDefault="0036391C" w:rsidP="005E7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Başbakan: Irakli Kobakhidze</w:t>
      </w:r>
    </w:p>
    <w:p w14:paraId="1095F5B6" w14:textId="77777777" w:rsidR="0036391C" w:rsidRDefault="0036391C" w:rsidP="005E708F">
      <w:pPr>
        <w:pStyle w:val="NormalWeb"/>
        <w:jc w:val="both"/>
      </w:pPr>
      <w:r>
        <w:rPr>
          <w:rStyle w:val="Strong"/>
        </w:rPr>
        <w:t>Yol Kenarı Bölgesinde Yol Denetimi Kuralı</w:t>
      </w:r>
    </w:p>
    <w:p w14:paraId="63FFFCB0" w14:textId="77777777" w:rsidR="0036391C" w:rsidRDefault="0036391C" w:rsidP="005E708F">
      <w:pPr>
        <w:pStyle w:val="NormalWeb"/>
        <w:jc w:val="both"/>
      </w:pPr>
      <w:r>
        <w:rPr>
          <w:rStyle w:val="Strong"/>
        </w:rPr>
        <w:t>Bölüm I. Genel Hükümler</w:t>
      </w:r>
    </w:p>
    <w:p w14:paraId="6E8DE744" w14:textId="77777777" w:rsidR="0036391C" w:rsidRDefault="0036391C" w:rsidP="005E708F">
      <w:pPr>
        <w:pStyle w:val="NormalWeb"/>
        <w:jc w:val="both"/>
      </w:pPr>
      <w:r>
        <w:rPr>
          <w:rStyle w:val="Strong"/>
        </w:rPr>
        <w:t>Madde 1. Düzenleme Alanı</w:t>
      </w:r>
    </w:p>
    <w:p w14:paraId="54EE1B28" w14:textId="77777777" w:rsidR="0036391C" w:rsidRDefault="0036391C" w:rsidP="005E708F">
      <w:pPr>
        <w:pStyle w:val="NormalWeb"/>
        <w:numPr>
          <w:ilvl w:val="0"/>
          <w:numId w:val="2"/>
        </w:numPr>
        <w:jc w:val="both"/>
      </w:pPr>
      <w:r>
        <w:t>Bu kural, Gürcistan veya yabancı ülkelerin mevzuatıyla belirlenmiş M2, M3, N1, N2, N3, O3, O4 kategorisindeki taşıtların yol kenarı denetim kurallarını ve Gürcistan yasalarıyla öngörülen ihlallerin niteliksel sınıflandırmasını belirler.</w:t>
      </w:r>
    </w:p>
    <w:p w14:paraId="4D94A652" w14:textId="77777777" w:rsidR="0036391C" w:rsidRDefault="0036391C" w:rsidP="005E708F">
      <w:pPr>
        <w:pStyle w:val="NormalWeb"/>
        <w:numPr>
          <w:ilvl w:val="0"/>
          <w:numId w:val="2"/>
        </w:numPr>
        <w:jc w:val="both"/>
      </w:pPr>
      <w:r>
        <w:t>Denetim konuları: a) Tehlikeli madde taşımacılığı kuralları; b) Sürücünün çalışma ve dinlenme sürelerine uyumu; c) Taşıtın teknik uygunluğu; d) Yük sabitleme kuralları; e) Uluslararası izin belgeleri; f) Takograf ve hız sınırlayıcı cihaz kurulum ve kalibrasyonu; g) Taşıt ağırlığı ve boyutları.</w:t>
      </w:r>
    </w:p>
    <w:p w14:paraId="5ABD7AFE" w14:textId="77777777" w:rsidR="0036391C" w:rsidRDefault="0036391C" w:rsidP="005E708F">
      <w:pPr>
        <w:pStyle w:val="NormalWeb"/>
        <w:numPr>
          <w:ilvl w:val="0"/>
          <w:numId w:val="2"/>
        </w:numPr>
        <w:jc w:val="both"/>
      </w:pPr>
      <w:r>
        <w:t>Aşağıdaki durumlar bu kuralların kapsamına girmez: a) Azami yapısal hızı 25 km/saat'i geçmeyen taşıtlar; b) Gürcistan devlet kurumlarının kontrolü altındaki taşıtlar; c) Tıbbi amaçlı taşıtlar; d) Acil durum/kurtarma operasyonu kapsamındaki taşıtlar.</w:t>
      </w:r>
    </w:p>
    <w:p w14:paraId="32244EFF" w14:textId="77777777" w:rsidR="0036391C" w:rsidRDefault="0036391C" w:rsidP="005E708F">
      <w:pPr>
        <w:pStyle w:val="NormalWeb"/>
        <w:jc w:val="both"/>
      </w:pPr>
      <w:r>
        <w:rPr>
          <w:rStyle w:val="Strong"/>
        </w:rPr>
        <w:t>Madde 2. Kuralın Amacı</w:t>
      </w:r>
    </w:p>
    <w:p w14:paraId="35F7559E" w14:textId="77777777" w:rsidR="0036391C" w:rsidRDefault="0036391C" w:rsidP="005E708F">
      <w:pPr>
        <w:pStyle w:val="NormalWeb"/>
        <w:jc w:val="both"/>
      </w:pPr>
      <w:r>
        <w:t>Bu kuralın amacı:</w:t>
      </w:r>
    </w:p>
    <w:p w14:paraId="6C9C6517" w14:textId="77777777" w:rsidR="0036391C" w:rsidRDefault="0036391C" w:rsidP="005E708F">
      <w:pPr>
        <w:pStyle w:val="NormalWeb"/>
        <w:jc w:val="both"/>
      </w:pPr>
      <w:r>
        <w:t>a) Taşıtların kullanımı sırasında yukarıdaki Madde 1, paragraf 2'de belirtilen gerekliliklerin karşılanmasını sağlamak, teknik arızalardan kaynaklı trafik kazalarını ve insan/çevreye verilen zararı en aza indirmek;</w:t>
      </w:r>
    </w:p>
    <w:p w14:paraId="46DF0343" w14:textId="77777777" w:rsidR="0036391C" w:rsidRDefault="0036391C" w:rsidP="005E708F">
      <w:pPr>
        <w:pStyle w:val="NormalWeb"/>
        <w:jc w:val="both"/>
      </w:pPr>
      <w:r>
        <w:t>b) Kara yolu ulaşımında sürücü, yolcu ve yayaların güvenliğini, ayrıca yolların, yol altyapısının ve taşınan yüklerin korunmasını artırmaktır.</w:t>
      </w:r>
    </w:p>
    <w:p w14:paraId="06464673" w14:textId="77777777" w:rsidR="0036391C" w:rsidRDefault="0036391C" w:rsidP="005E708F">
      <w:pPr>
        <w:pStyle w:val="NormalWeb"/>
        <w:jc w:val="both"/>
        <w:rPr>
          <w:rStyle w:val="Strong"/>
        </w:rPr>
      </w:pPr>
    </w:p>
    <w:p w14:paraId="748D0E5C" w14:textId="6FE383DA" w:rsidR="0036391C" w:rsidRDefault="0036391C" w:rsidP="005E708F">
      <w:pPr>
        <w:pStyle w:val="NormalWeb"/>
        <w:jc w:val="both"/>
      </w:pPr>
      <w:r>
        <w:rPr>
          <w:rStyle w:val="Strong"/>
        </w:rPr>
        <w:lastRenderedPageBreak/>
        <w:t>Madde 3. İhlallerin Niteliksel Sınıflandırması</w:t>
      </w:r>
    </w:p>
    <w:p w14:paraId="626CC446" w14:textId="77777777" w:rsidR="0036391C" w:rsidRDefault="0036391C" w:rsidP="005E708F">
      <w:pPr>
        <w:pStyle w:val="NormalWeb"/>
        <w:jc w:val="both"/>
      </w:pPr>
      <w:r>
        <w:t>Madde 1, paragraf 2, bent (a) ila (f) ile ilgili konular bağlamında, Gürcistan mevzuatına göre belirlenen ihlaller; birinci, ikinci ve üçüncü derece ihlaller olarak sınıflandırılır.</w:t>
      </w:r>
    </w:p>
    <w:p w14:paraId="01B29E28" w14:textId="77777777" w:rsidR="0036391C" w:rsidRDefault="0036391C" w:rsidP="005E708F">
      <w:pPr>
        <w:pStyle w:val="NormalWeb"/>
        <w:jc w:val="both"/>
      </w:pPr>
      <w:r>
        <w:rPr>
          <w:rStyle w:val="Strong"/>
        </w:rPr>
        <w:t>Madde 4. Terimlerin Tanımı</w:t>
      </w:r>
    </w:p>
    <w:p w14:paraId="3C6A0726" w14:textId="77777777" w:rsidR="0036391C" w:rsidRDefault="0036391C" w:rsidP="005E708F">
      <w:pPr>
        <w:pStyle w:val="NormalWeb"/>
        <w:numPr>
          <w:ilvl w:val="0"/>
          <w:numId w:val="3"/>
        </w:numPr>
        <w:jc w:val="both"/>
      </w:pPr>
      <w:r>
        <w:t>Bu kuralda kullanılan terimler aşağıdaki anlamları taşır:</w:t>
      </w:r>
    </w:p>
    <w:p w14:paraId="4AA11380" w14:textId="77777777" w:rsidR="0036391C" w:rsidRDefault="0036391C" w:rsidP="005E708F">
      <w:pPr>
        <w:pStyle w:val="NormalWeb"/>
        <w:jc w:val="both"/>
      </w:pPr>
      <w:r>
        <w:t>a) Yol kenarı bölgesinde yol denetimi (bundan sonra - denetim): taşıtların, Madde 1, paragraf 2'de belirtilen konular çerçevesinde Gürcistan yasalarına uygunluk açısından kontrol edilmesidir;</w:t>
      </w:r>
    </w:p>
    <w:p w14:paraId="2075E60D" w14:textId="77777777" w:rsidR="0036391C" w:rsidRDefault="0036391C" w:rsidP="005E708F">
      <w:pPr>
        <w:pStyle w:val="NormalWeb"/>
        <w:jc w:val="both"/>
      </w:pPr>
      <w:r>
        <w:t>b) Taşıt: Gürcistan veya yabancı ülke yasalarına göre kayıtlı M2, M3, N1, N2, N3 kategorisindeki taşıtlar ile O3 ve O4 kategorisindeki römork ve yarı römorklar;</w:t>
      </w:r>
    </w:p>
    <w:p w14:paraId="66073E50" w14:textId="77777777" w:rsidR="0036391C" w:rsidRDefault="0036391C" w:rsidP="005E708F">
      <w:pPr>
        <w:pStyle w:val="NormalWeb"/>
        <w:jc w:val="both"/>
      </w:pPr>
      <w:r>
        <w:t>c) Ajans: Gürcistan Ekonomi ve Sürdürülebilir Kalkınma Bakanlığı sistemine bağlı olan Kamu Hukuku Tüzel Kişisi - Kara Taşımacılığı Ajansı;</w:t>
      </w:r>
    </w:p>
    <w:p w14:paraId="3EEE68BE" w14:textId="77777777" w:rsidR="0036391C" w:rsidRDefault="0036391C" w:rsidP="005E708F">
      <w:pPr>
        <w:pStyle w:val="NormalWeb"/>
        <w:jc w:val="both"/>
      </w:pPr>
      <w:r>
        <w:t>d) Müfettiş: Ajans uzmanı olup yol kenarı denetimini gerçekleştirir;</w:t>
      </w:r>
    </w:p>
    <w:p w14:paraId="5B350728" w14:textId="77777777" w:rsidR="0036391C" w:rsidRDefault="0036391C" w:rsidP="005E708F">
      <w:pPr>
        <w:pStyle w:val="NormalWeb"/>
        <w:jc w:val="both"/>
      </w:pPr>
      <w:r>
        <w:t>e) Bakanlık: Gürcistan İçişleri Bakanlığı;</w:t>
      </w:r>
    </w:p>
    <w:p w14:paraId="1C6063F9" w14:textId="77777777" w:rsidR="0036391C" w:rsidRDefault="0036391C" w:rsidP="005E708F">
      <w:pPr>
        <w:pStyle w:val="NormalWeb"/>
        <w:jc w:val="both"/>
      </w:pPr>
      <w:r>
        <w:t>f) Denetim Noktası: kalibre edilmiş ve sertifikalı sistemlerle donatılmış denetim amaçlı alan;</w:t>
      </w:r>
    </w:p>
    <w:p w14:paraId="38E80426" w14:textId="77777777" w:rsidR="0036391C" w:rsidRDefault="0036391C" w:rsidP="005E708F">
      <w:pPr>
        <w:pStyle w:val="NormalWeb"/>
        <w:jc w:val="both"/>
      </w:pPr>
      <w:r>
        <w:t>g) Donanım: denetim noktasında kullanılan tüm cihaz, ekipman, alet ve yazılım sistemleri;</w:t>
      </w:r>
    </w:p>
    <w:p w14:paraId="37F40497" w14:textId="77777777" w:rsidR="0036391C" w:rsidRDefault="0036391C" w:rsidP="005E708F">
      <w:pPr>
        <w:pStyle w:val="NormalWeb"/>
        <w:jc w:val="both"/>
      </w:pPr>
      <w:r>
        <w:t>h) Denetim Tutanağı: müfettiş tarafından düzenlenen ve denetim sonuçlarını içeren belge.</w:t>
      </w:r>
    </w:p>
    <w:p w14:paraId="2760E614" w14:textId="77777777" w:rsidR="0036391C" w:rsidRDefault="0036391C" w:rsidP="005E708F">
      <w:pPr>
        <w:pStyle w:val="NormalWeb"/>
        <w:numPr>
          <w:ilvl w:val="0"/>
          <w:numId w:val="4"/>
        </w:numPr>
        <w:jc w:val="both"/>
      </w:pPr>
      <w:r>
        <w:t>Diğer terimler “Karayolu Taşımacılığı Hakkında” ve “Karayolu Trafiği Hakkında” Gürcistan yasaları ile teknik düzenlemelerde belirtilen anlamlara sahiptir.</w:t>
      </w:r>
    </w:p>
    <w:p w14:paraId="0C5D6238" w14:textId="77777777" w:rsidR="0036391C" w:rsidRDefault="0036391C" w:rsidP="005E708F">
      <w:pPr>
        <w:pStyle w:val="NormalWeb"/>
        <w:jc w:val="both"/>
      </w:pPr>
      <w:r>
        <w:rPr>
          <w:rStyle w:val="Strong"/>
        </w:rPr>
        <w:t>Bölüm II. Denetim</w:t>
      </w:r>
    </w:p>
    <w:p w14:paraId="758DAEBF" w14:textId="77777777" w:rsidR="0036391C" w:rsidRDefault="0036391C" w:rsidP="005E708F">
      <w:pPr>
        <w:pStyle w:val="NormalWeb"/>
        <w:jc w:val="both"/>
      </w:pPr>
      <w:r>
        <w:rPr>
          <w:rStyle w:val="Strong"/>
        </w:rPr>
        <w:t>Madde 5. Denetim ve Başlangıç Temelleri</w:t>
      </w:r>
    </w:p>
    <w:p w14:paraId="5775BC43" w14:textId="77777777" w:rsidR="0036391C" w:rsidRDefault="0036391C" w:rsidP="005E708F">
      <w:pPr>
        <w:pStyle w:val="NormalWeb"/>
        <w:numPr>
          <w:ilvl w:val="0"/>
          <w:numId w:val="5"/>
        </w:numPr>
        <w:jc w:val="both"/>
      </w:pPr>
      <w:r>
        <w:t>Denetim, Bakanlığın ilgili biriminin desteğiyle Ajans tarafından gerçekleştirilir.</w:t>
      </w:r>
    </w:p>
    <w:p w14:paraId="5AC43F50" w14:textId="77777777" w:rsidR="0036391C" w:rsidRDefault="0036391C" w:rsidP="005E708F">
      <w:pPr>
        <w:pStyle w:val="NormalWeb"/>
        <w:numPr>
          <w:ilvl w:val="0"/>
          <w:numId w:val="5"/>
        </w:numPr>
        <w:jc w:val="both"/>
      </w:pPr>
      <w:r>
        <w:t>Denetim amacıyla taşıtların seçimini Bakanlığın ilgili birimi sağlar.</w:t>
      </w:r>
    </w:p>
    <w:p w14:paraId="35BDCC43" w14:textId="77777777" w:rsidR="0036391C" w:rsidRDefault="0036391C" w:rsidP="005E708F">
      <w:pPr>
        <w:pStyle w:val="NormalWeb"/>
        <w:numPr>
          <w:ilvl w:val="0"/>
          <w:numId w:val="5"/>
        </w:numPr>
        <w:jc w:val="both"/>
      </w:pPr>
      <w:r>
        <w:t>Denetim için taşıtlar aşağıdaki durumlardan birine göre seçilir: a) Rastgelelik ilkesiyle; b) Taşıtın trafik güvenliği veya çevre için tehdit oluşturabileceğine dair yeterli gerekçe varsa; c) Ajans e-posta veya telefon (sıcak hat) aracılığıyla bildirim aldıysa.</w:t>
      </w:r>
    </w:p>
    <w:p w14:paraId="4D51E4E8" w14:textId="77777777" w:rsidR="0036391C" w:rsidRDefault="0036391C" w:rsidP="005E708F">
      <w:pPr>
        <w:pStyle w:val="NormalWeb"/>
        <w:numPr>
          <w:ilvl w:val="0"/>
          <w:numId w:val="5"/>
        </w:numPr>
        <w:jc w:val="both"/>
      </w:pPr>
      <w:r>
        <w:t>Madde 5, paragraf 3, bent (c) kapsamındaki bildirimler Ajans tarafından Bakanlığın devriye polis departmanının nöbetçi-bilgilendirme birimine veya kamu güvenliği yönetim merkezi “112”ye iletilir.</w:t>
      </w:r>
    </w:p>
    <w:p w14:paraId="667AD1AD" w14:textId="77777777" w:rsidR="0036391C" w:rsidRDefault="0036391C" w:rsidP="005E708F">
      <w:pPr>
        <w:pStyle w:val="NormalWeb"/>
        <w:jc w:val="both"/>
        <w:rPr>
          <w:rStyle w:val="Strong"/>
        </w:rPr>
      </w:pPr>
    </w:p>
    <w:p w14:paraId="361EEC64" w14:textId="0689908B" w:rsidR="0036391C" w:rsidRDefault="0036391C" w:rsidP="005E708F">
      <w:pPr>
        <w:pStyle w:val="NormalWeb"/>
        <w:jc w:val="both"/>
      </w:pPr>
      <w:r>
        <w:rPr>
          <w:rStyle w:val="Strong"/>
        </w:rPr>
        <w:lastRenderedPageBreak/>
        <w:t>Madde 6. Müfettiş</w:t>
      </w:r>
    </w:p>
    <w:p w14:paraId="5B5F7937" w14:textId="77777777" w:rsidR="0036391C" w:rsidRDefault="0036391C" w:rsidP="005E708F">
      <w:pPr>
        <w:pStyle w:val="NormalWeb"/>
        <w:numPr>
          <w:ilvl w:val="0"/>
          <w:numId w:val="6"/>
        </w:numPr>
        <w:jc w:val="both"/>
      </w:pPr>
      <w:r>
        <w:t>Denetim sırasında müfettiş, herhangi bir ayrımcılığa (sürücünün milliyeti, aracın kayıt yeri veya kullanıldığı ülkeye göre) yol açmamalıdır.</w:t>
      </w:r>
    </w:p>
    <w:p w14:paraId="78BA185B" w14:textId="77777777" w:rsidR="0036391C" w:rsidRDefault="0036391C" w:rsidP="005E708F">
      <w:pPr>
        <w:pStyle w:val="NormalWeb"/>
        <w:numPr>
          <w:ilvl w:val="0"/>
          <w:numId w:val="6"/>
        </w:numPr>
        <w:jc w:val="both"/>
      </w:pPr>
      <w:r>
        <w:t>Müfettiş, nitelikli, tarafsız ve objektif olmalıdır.</w:t>
      </w:r>
    </w:p>
    <w:p w14:paraId="1645520C" w14:textId="77777777" w:rsidR="0036391C" w:rsidRDefault="0036391C" w:rsidP="005E708F">
      <w:pPr>
        <w:pStyle w:val="NormalWeb"/>
        <w:numPr>
          <w:ilvl w:val="0"/>
          <w:numId w:val="6"/>
        </w:numPr>
        <w:jc w:val="both"/>
      </w:pPr>
      <w:r>
        <w:t>Müfettiş, denetim sırasında sürücüden iş birliği yapmasını isteyebilir ve talimatlar verebilir.</w:t>
      </w:r>
    </w:p>
    <w:p w14:paraId="7C695AEA" w14:textId="77777777" w:rsidR="0036391C" w:rsidRDefault="0036391C" w:rsidP="005E708F">
      <w:pPr>
        <w:pStyle w:val="NormalWeb"/>
        <w:numPr>
          <w:ilvl w:val="0"/>
          <w:numId w:val="6"/>
        </w:numPr>
        <w:jc w:val="both"/>
      </w:pPr>
      <w:r>
        <w:t>Denetim tamamlandığında, müfettiş bir denetim tutanağı düzenler; bunun bir kopyası sürücüye veya taşıyıcıya teslim edilir.</w:t>
      </w:r>
    </w:p>
    <w:p w14:paraId="70D1CAED" w14:textId="77777777" w:rsidR="0036391C" w:rsidRDefault="0036391C" w:rsidP="005E708F">
      <w:pPr>
        <w:pStyle w:val="NormalWeb"/>
        <w:jc w:val="both"/>
      </w:pPr>
      <w:r>
        <w:rPr>
          <w:rStyle w:val="Strong"/>
        </w:rPr>
        <w:t>Madde 7. Denetimin İçeriği ve Yöntemleri</w:t>
      </w:r>
    </w:p>
    <w:p w14:paraId="3B62D31E" w14:textId="77777777" w:rsidR="0036391C" w:rsidRDefault="0036391C" w:rsidP="005E708F">
      <w:pPr>
        <w:pStyle w:val="NormalWeb"/>
        <w:numPr>
          <w:ilvl w:val="0"/>
          <w:numId w:val="7"/>
        </w:numPr>
        <w:jc w:val="both"/>
      </w:pPr>
      <w:r>
        <w:t>Bakanlığın ilgili birimi tarafından seçilen taşıtlar denetim noktasına götürülür.</w:t>
      </w:r>
    </w:p>
    <w:p w14:paraId="594A0AD3" w14:textId="77777777" w:rsidR="0036391C" w:rsidRDefault="0036391C" w:rsidP="005E708F">
      <w:pPr>
        <w:pStyle w:val="NormalWeb"/>
        <w:numPr>
          <w:ilvl w:val="0"/>
          <w:numId w:val="7"/>
        </w:numPr>
        <w:jc w:val="both"/>
      </w:pPr>
      <w:r>
        <w:t>Denetim noktasında müfettiş, Madde 1 paragraf 2’deki konuları inceler ve denetim tutanağını düzenler.</w:t>
      </w:r>
    </w:p>
    <w:p w14:paraId="088E3432" w14:textId="77777777" w:rsidR="0036391C" w:rsidRDefault="0036391C" w:rsidP="005E708F">
      <w:pPr>
        <w:pStyle w:val="NormalWeb"/>
        <w:numPr>
          <w:ilvl w:val="0"/>
          <w:numId w:val="7"/>
        </w:numPr>
        <w:jc w:val="both"/>
      </w:pPr>
      <w:r>
        <w:t>Tutanak formu, saklama süresi ve kullanım şekli Ajans Direktörü tarafından belirlenir.</w:t>
      </w:r>
    </w:p>
    <w:p w14:paraId="52751916" w14:textId="77777777" w:rsidR="0036391C" w:rsidRDefault="0036391C" w:rsidP="005E708F">
      <w:pPr>
        <w:pStyle w:val="NormalWeb"/>
        <w:numPr>
          <w:ilvl w:val="0"/>
          <w:numId w:val="7"/>
        </w:numPr>
        <w:jc w:val="both"/>
      </w:pPr>
      <w:r>
        <w:t>Eğer taşıta ait bir bileşen son 1 ay içinde denetlendi ise ve bariz bir arıza belirtisi yoksa, o bileşen tekrar denetlenmez.</w:t>
      </w:r>
    </w:p>
    <w:p w14:paraId="7150404C" w14:textId="77777777" w:rsidR="0036391C" w:rsidRDefault="0036391C" w:rsidP="005E708F">
      <w:pPr>
        <w:pStyle w:val="NormalWeb"/>
        <w:numPr>
          <w:ilvl w:val="0"/>
          <w:numId w:val="7"/>
        </w:numPr>
        <w:jc w:val="both"/>
      </w:pPr>
      <w:r>
        <w:t>Denetim sonucunda taşıt ya da sürücü doğrudan ve acil tehlike oluşturuyorsa, Ajansın bilgilendirmesi sonrası Bakanlığın ilgili birimi taşıtın hareketini kısıtlayabilir.</w:t>
      </w:r>
    </w:p>
    <w:p w14:paraId="2EBFA59D" w14:textId="77777777" w:rsidR="0036391C" w:rsidRDefault="0036391C" w:rsidP="005E708F">
      <w:pPr>
        <w:pStyle w:val="NormalWeb"/>
        <w:numPr>
          <w:ilvl w:val="0"/>
          <w:numId w:val="7"/>
        </w:numPr>
        <w:jc w:val="both"/>
      </w:pPr>
      <w:r>
        <w:t>Bu tür durumlarda, eksiklik giderilene kadar taşıt yeniden denetlenir. Eksiklik yerinde giderilemiyorsa, taşıt yetkili servise yönlendirilir.</w:t>
      </w:r>
    </w:p>
    <w:p w14:paraId="09413136" w14:textId="77777777" w:rsidR="0036391C" w:rsidRDefault="0036391C" w:rsidP="005E708F">
      <w:pPr>
        <w:pStyle w:val="NormalWeb"/>
        <w:numPr>
          <w:ilvl w:val="0"/>
          <w:numId w:val="7"/>
        </w:numPr>
        <w:jc w:val="both"/>
      </w:pPr>
      <w:r>
        <w:t>Bu durumda, eksikliğin giderildiğine dair belgenin taşıtta taşınması ve sefer bitene kadar muhafazası gerekir.</w:t>
      </w:r>
    </w:p>
    <w:p w14:paraId="2509886F" w14:textId="77777777" w:rsidR="0036391C" w:rsidRDefault="0036391C" w:rsidP="005E708F">
      <w:pPr>
        <w:pStyle w:val="NormalWeb"/>
        <w:numPr>
          <w:ilvl w:val="0"/>
          <w:numId w:val="7"/>
        </w:numPr>
        <w:jc w:val="both"/>
      </w:pPr>
      <w:r>
        <w:t>Sürücü belge sunmayı reddederse ya da belgede sahtecilik izlenimi varsa, taşıtın hareketi belgeler sunulana kadar kısıtlanır.</w:t>
      </w:r>
    </w:p>
    <w:p w14:paraId="79C3DD6B" w14:textId="77777777" w:rsidR="0036391C" w:rsidRDefault="0036391C" w:rsidP="005E708F">
      <w:pPr>
        <w:pStyle w:val="NormalWeb"/>
        <w:numPr>
          <w:ilvl w:val="0"/>
          <w:numId w:val="7"/>
        </w:numPr>
        <w:jc w:val="both"/>
      </w:pPr>
      <w:r>
        <w:t>Denetim sırasında sürücü, taşıyıcı veya diğer kişilere ulaşıp kanıt belgeleri sağlayabilir.</w:t>
      </w:r>
    </w:p>
    <w:p w14:paraId="6A123C91" w14:textId="77777777" w:rsidR="0036391C" w:rsidRDefault="0036391C" w:rsidP="005E708F">
      <w:pPr>
        <w:pStyle w:val="NormalWeb"/>
        <w:numPr>
          <w:ilvl w:val="0"/>
          <w:numId w:val="7"/>
        </w:numPr>
        <w:jc w:val="both"/>
      </w:pPr>
      <w:r>
        <w:t>Sürüş süresi 9 saatlik günlük limiti aşıp 13 saat 30 dakikayı geçiyorsa (molasız), taşıt dinlenme süresi (en az 11 saat) sağlanana kadar durdurulur.</w:t>
      </w:r>
    </w:p>
    <w:p w14:paraId="58AA79B1" w14:textId="77777777" w:rsidR="0036391C" w:rsidRDefault="0036391C" w:rsidP="005E708F">
      <w:pPr>
        <w:pStyle w:val="NormalWeb"/>
        <w:numPr>
          <w:ilvl w:val="0"/>
          <w:numId w:val="7"/>
        </w:numPr>
        <w:jc w:val="both"/>
      </w:pPr>
      <w:r>
        <w:t>Sürüş süresi 10 saatlik günlük limiti aşıp 15 saati geçiyorsa, aynı uygulama yapılır.</w:t>
      </w:r>
    </w:p>
    <w:p w14:paraId="1F0B4E2C" w14:textId="77777777" w:rsidR="0036391C" w:rsidRDefault="0036391C" w:rsidP="005E708F">
      <w:pPr>
        <w:pStyle w:val="NormalWeb"/>
        <w:numPr>
          <w:ilvl w:val="0"/>
          <w:numId w:val="7"/>
        </w:numPr>
        <w:jc w:val="both"/>
      </w:pPr>
      <w:r>
        <w:t>Haftalık toplam sürüş süresi 70 saati aşarsa, taşıt haftalık dinlenme sağlanana kadar durdurulur (en az 45 saat).</w:t>
      </w:r>
    </w:p>
    <w:p w14:paraId="0FC2C3C8" w14:textId="77777777" w:rsidR="0036391C" w:rsidRDefault="0036391C" w:rsidP="005E708F">
      <w:pPr>
        <w:pStyle w:val="NormalWeb"/>
        <w:numPr>
          <w:ilvl w:val="0"/>
          <w:numId w:val="7"/>
        </w:numPr>
        <w:jc w:val="both"/>
      </w:pPr>
      <w:r>
        <w:t>İki ardışık haftada toplam sürüş süresi 112 saat 30 dakikayı aşarsa, taşıt haftalık dinlenme sağlanana kadar durdurulur.</w:t>
      </w:r>
    </w:p>
    <w:p w14:paraId="3DDD824F" w14:textId="77777777" w:rsidR="0036391C" w:rsidRDefault="0036391C" w:rsidP="005E708F">
      <w:pPr>
        <w:pStyle w:val="NormalWeb"/>
        <w:numPr>
          <w:ilvl w:val="0"/>
          <w:numId w:val="7"/>
        </w:numPr>
        <w:jc w:val="both"/>
      </w:pPr>
      <w:r>
        <w:t>Tehlikeli madde taşımacılığı veya yük sabitleme kontrolünde can ve mal güvenliği riski varsa, Gümrük Dairesi yetkilisi müdahil olur ve taşıtı açıp tekrar mühürleyebilir.</w:t>
      </w:r>
    </w:p>
    <w:p w14:paraId="75DCE271" w14:textId="77777777" w:rsidR="0036391C" w:rsidRDefault="0036391C" w:rsidP="005E708F">
      <w:pPr>
        <w:pStyle w:val="NormalWeb"/>
        <w:numPr>
          <w:ilvl w:val="0"/>
          <w:numId w:val="7"/>
        </w:numPr>
        <w:jc w:val="both"/>
      </w:pPr>
      <w:r>
        <w:t>Taşıtın yapısı bazı konuların denetimine izin vermiyorsa, yalnızca denetlenebilir unsurlar kontrol edilir.</w:t>
      </w:r>
    </w:p>
    <w:p w14:paraId="35E80FC6" w14:textId="77777777" w:rsidR="0036391C" w:rsidRDefault="0036391C" w:rsidP="005E708F">
      <w:pPr>
        <w:pStyle w:val="NormalWeb"/>
        <w:numPr>
          <w:ilvl w:val="0"/>
          <w:numId w:val="7"/>
        </w:numPr>
        <w:jc w:val="both"/>
      </w:pPr>
      <w:r>
        <w:t>Farklı düzeyde ihlaller varsa, en ağır olan esas alınarak ceza uygulanır.</w:t>
      </w:r>
    </w:p>
    <w:p w14:paraId="22B1E930" w14:textId="77777777" w:rsidR="0036391C" w:rsidRDefault="0036391C" w:rsidP="005E708F">
      <w:pPr>
        <w:pStyle w:val="NormalWeb"/>
        <w:jc w:val="both"/>
      </w:pPr>
      <w:r>
        <w:rPr>
          <w:rStyle w:val="Strong"/>
        </w:rPr>
        <w:t>Madde 8. Denetim Noktası</w:t>
      </w:r>
    </w:p>
    <w:p w14:paraId="1E4B8A24" w14:textId="77777777" w:rsidR="0036391C" w:rsidRDefault="0036391C" w:rsidP="005E708F">
      <w:pPr>
        <w:pStyle w:val="NormalWeb"/>
        <w:jc w:val="both"/>
      </w:pPr>
      <w:r>
        <w:t>Denetim noktası aşağıdaki ekipmanlara sahip olmalıdır:</w:t>
      </w:r>
    </w:p>
    <w:p w14:paraId="52FF474A" w14:textId="77777777" w:rsidR="0036391C" w:rsidRDefault="0036391C" w:rsidP="005E708F">
      <w:pPr>
        <w:pStyle w:val="NormalWeb"/>
        <w:numPr>
          <w:ilvl w:val="0"/>
          <w:numId w:val="8"/>
        </w:numPr>
        <w:jc w:val="both"/>
      </w:pPr>
      <w:r>
        <w:t>Takograf kart(lar)ı,</w:t>
      </w:r>
    </w:p>
    <w:p w14:paraId="265ED546" w14:textId="77777777" w:rsidR="0036391C" w:rsidRDefault="0036391C" w:rsidP="005E708F">
      <w:pPr>
        <w:pStyle w:val="NormalWeb"/>
        <w:numPr>
          <w:ilvl w:val="0"/>
          <w:numId w:val="8"/>
        </w:numPr>
        <w:jc w:val="both"/>
      </w:pPr>
      <w:r>
        <w:t>Takograf veri okuma cihazı,</w:t>
      </w:r>
    </w:p>
    <w:p w14:paraId="1F28ADC8" w14:textId="77777777" w:rsidR="0036391C" w:rsidRDefault="0036391C" w:rsidP="005E708F">
      <w:pPr>
        <w:pStyle w:val="NormalWeb"/>
        <w:numPr>
          <w:ilvl w:val="0"/>
          <w:numId w:val="8"/>
        </w:numPr>
        <w:jc w:val="both"/>
      </w:pPr>
      <w:r>
        <w:lastRenderedPageBreak/>
        <w:t>Taşıt altı inceleme cihazı (sedye),</w:t>
      </w:r>
    </w:p>
    <w:p w14:paraId="769F92D7" w14:textId="77777777" w:rsidR="0036391C" w:rsidRDefault="0036391C" w:rsidP="005E708F">
      <w:pPr>
        <w:pStyle w:val="NormalWeb"/>
        <w:numPr>
          <w:ilvl w:val="0"/>
          <w:numId w:val="8"/>
        </w:numPr>
        <w:jc w:val="both"/>
      </w:pPr>
      <w:r>
        <w:t>Fren test cihazı,</w:t>
      </w:r>
    </w:p>
    <w:p w14:paraId="62D1435B" w14:textId="77777777" w:rsidR="0036391C" w:rsidRDefault="0036391C" w:rsidP="005E708F">
      <w:pPr>
        <w:pStyle w:val="NormalWeb"/>
        <w:numPr>
          <w:ilvl w:val="0"/>
          <w:numId w:val="8"/>
        </w:numPr>
        <w:jc w:val="both"/>
      </w:pPr>
      <w:r>
        <w:t>Egzoz gazı test cihazı,</w:t>
      </w:r>
    </w:p>
    <w:p w14:paraId="1111E0A3" w14:textId="77777777" w:rsidR="0036391C" w:rsidRDefault="0036391C" w:rsidP="005E708F">
      <w:pPr>
        <w:pStyle w:val="NormalWeb"/>
        <w:numPr>
          <w:ilvl w:val="0"/>
          <w:numId w:val="8"/>
        </w:numPr>
        <w:jc w:val="both"/>
      </w:pPr>
      <w:r>
        <w:t>Dingil kayması tespit cihazı,</w:t>
      </w:r>
    </w:p>
    <w:p w14:paraId="75E39A3D" w14:textId="77777777" w:rsidR="0036391C" w:rsidRDefault="0036391C" w:rsidP="005E708F">
      <w:pPr>
        <w:pStyle w:val="NormalWeb"/>
        <w:numPr>
          <w:ilvl w:val="0"/>
          <w:numId w:val="8"/>
        </w:numPr>
        <w:jc w:val="both"/>
      </w:pPr>
      <w:r>
        <w:t>Lastik diş derinliği ölçer,</w:t>
      </w:r>
    </w:p>
    <w:p w14:paraId="37A10BE0" w14:textId="77777777" w:rsidR="0036391C" w:rsidRDefault="0036391C" w:rsidP="005E708F">
      <w:pPr>
        <w:pStyle w:val="NormalWeb"/>
        <w:numPr>
          <w:ilvl w:val="0"/>
          <w:numId w:val="8"/>
        </w:numPr>
        <w:jc w:val="both"/>
      </w:pPr>
      <w:r>
        <w:t>Terazi (gerektiğinde fren test cihazıyla entegre),</w:t>
      </w:r>
    </w:p>
    <w:p w14:paraId="385151A3" w14:textId="77777777" w:rsidR="0036391C" w:rsidRDefault="0036391C" w:rsidP="005E708F">
      <w:pPr>
        <w:pStyle w:val="NormalWeb"/>
        <w:numPr>
          <w:ilvl w:val="0"/>
          <w:numId w:val="8"/>
        </w:numPr>
        <w:jc w:val="both"/>
      </w:pPr>
      <w:r>
        <w:t>Hidrolik/pnömatik kriko,</w:t>
      </w:r>
    </w:p>
    <w:p w14:paraId="22B5BC13" w14:textId="77777777" w:rsidR="0036391C" w:rsidRDefault="0036391C" w:rsidP="005E708F">
      <w:pPr>
        <w:pStyle w:val="NormalWeb"/>
        <w:numPr>
          <w:ilvl w:val="0"/>
          <w:numId w:val="8"/>
        </w:numPr>
        <w:jc w:val="both"/>
      </w:pPr>
      <w:r>
        <w:t>Tekerlek takozları,</w:t>
      </w:r>
    </w:p>
    <w:p w14:paraId="30FCE0EC" w14:textId="77777777" w:rsidR="0036391C" w:rsidRDefault="0036391C" w:rsidP="005E708F">
      <w:pPr>
        <w:pStyle w:val="NormalWeb"/>
        <w:numPr>
          <w:ilvl w:val="0"/>
          <w:numId w:val="8"/>
        </w:numPr>
        <w:jc w:val="both"/>
      </w:pPr>
      <w:r>
        <w:t>Denetim lambası,</w:t>
      </w:r>
    </w:p>
    <w:p w14:paraId="704D842A" w14:textId="77777777" w:rsidR="0036391C" w:rsidRDefault="0036391C" w:rsidP="005E708F">
      <w:pPr>
        <w:pStyle w:val="NormalWeb"/>
        <w:numPr>
          <w:ilvl w:val="0"/>
          <w:numId w:val="8"/>
        </w:numPr>
        <w:jc w:val="both"/>
      </w:pPr>
      <w:r>
        <w:t>Süpürge,</w:t>
      </w:r>
    </w:p>
    <w:p w14:paraId="68D43591" w14:textId="77777777" w:rsidR="0036391C" w:rsidRDefault="0036391C" w:rsidP="005E708F">
      <w:pPr>
        <w:pStyle w:val="NormalWeb"/>
        <w:numPr>
          <w:ilvl w:val="0"/>
          <w:numId w:val="8"/>
        </w:numPr>
        <w:jc w:val="both"/>
      </w:pPr>
      <w:r>
        <w:t>Boyut ölçer,</w:t>
      </w:r>
    </w:p>
    <w:p w14:paraId="3017F4B0" w14:textId="77777777" w:rsidR="0036391C" w:rsidRDefault="0036391C" w:rsidP="005E708F">
      <w:pPr>
        <w:pStyle w:val="NormalWeb"/>
        <w:numPr>
          <w:ilvl w:val="0"/>
          <w:numId w:val="8"/>
        </w:numPr>
        <w:jc w:val="both"/>
      </w:pPr>
      <w:r>
        <w:t>Uyarı levhaları,</w:t>
      </w:r>
    </w:p>
    <w:p w14:paraId="2212C4D4" w14:textId="77777777" w:rsidR="0036391C" w:rsidRDefault="0036391C" w:rsidP="005E708F">
      <w:pPr>
        <w:pStyle w:val="NormalWeb"/>
        <w:numPr>
          <w:ilvl w:val="0"/>
          <w:numId w:val="8"/>
        </w:numPr>
        <w:jc w:val="both"/>
      </w:pPr>
      <w:r>
        <w:t>Gaz kaçağı dedektörü.</w:t>
      </w:r>
    </w:p>
    <w:p w14:paraId="112C1327" w14:textId="77777777" w:rsidR="0036391C" w:rsidRPr="0036391C" w:rsidRDefault="0036391C" w:rsidP="005E7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9. İhlal Derecelerinin Değerlendirilmesi</w:t>
      </w:r>
    </w:p>
    <w:p w14:paraId="62E78AB2" w14:textId="77777777" w:rsidR="0036391C" w:rsidRPr="0036391C" w:rsidRDefault="0036391C" w:rsidP="005E70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 1, paragraf 2’deki konulara ilişkin muhtemel ihlaller ve ciddiyet dereceleri bu kuralın Bölüm III ve Ek N1–N6 ile belirlenmiştir.</w:t>
      </w:r>
    </w:p>
    <w:p w14:paraId="67C0AC19" w14:textId="77777777" w:rsidR="0036391C" w:rsidRPr="0036391C" w:rsidRDefault="0036391C" w:rsidP="005E70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>İhlal derecelendirmesi, görsel inceleme ile veya Madde 8’de belirtilen ekipman yardımıyla yapılır.</w:t>
      </w:r>
    </w:p>
    <w:p w14:paraId="72F2F1E8" w14:textId="6EB2974F" w:rsidR="0036391C" w:rsidRPr="0036391C" w:rsidRDefault="0036391C" w:rsidP="005E70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 1, paragraf 2, bent (a)–(f) kapsamındaki ihlaller üç seviyede değerlendirilir: a) Birinci derece ihlal – Taşıt güvenliğine ve çevreye önemli etkisi olmayan küçük uygunsuzluklar; b) İkinci derece ihlal – Trafik güvenliğini tehlikeye atabilecek veya çevreyi etkileyebilecek orta düzey riskler; c) Üçüncü derece ihlal – Doğrudan ve ciddi tehlike yaratan, çevreye olumsuz etkisi olan ihlaller.</w:t>
      </w:r>
    </w:p>
    <w:p w14:paraId="6D3757DA" w14:textId="77777777" w:rsidR="0036391C" w:rsidRPr="0036391C" w:rsidRDefault="0036391C" w:rsidP="005E7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Bölüm III. İhlal Listesi ve Ciddiyet Dereceleri</w:t>
      </w:r>
    </w:p>
    <w:p w14:paraId="7F3228B9" w14:textId="77777777" w:rsidR="0036391C" w:rsidRPr="0036391C" w:rsidRDefault="0036391C" w:rsidP="005E7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10. Tehlikeli Madde Taşımacılığı Kurallarına Uyum</w:t>
      </w:r>
    </w:p>
    <w:p w14:paraId="42513C04" w14:textId="77777777" w:rsidR="0036391C" w:rsidRPr="0036391C" w:rsidRDefault="0036391C" w:rsidP="005E70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>Bu alandaki ihlaller ve sınıflandırmaları Ek N1’de belirtilmiştir.</w:t>
      </w:r>
    </w:p>
    <w:p w14:paraId="41783434" w14:textId="77777777" w:rsidR="0036391C" w:rsidRPr="0036391C" w:rsidRDefault="0036391C" w:rsidP="005E70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>Müfettişin yükümlülükleri: a) Tehlikeli maddelerin taşınması ADR (Tehlikeli Malların Karayolu ile Uluslararası Taşınması Anlaşması) ve Gürcistan Hükümet Kararı No: 89 (15 Şubat 2019) uyarınca olup olmadığını kontrol etmek; b) Görsel inceleme ile taşıtta sızıntı, çatlak, eksik donanım olup olmadığını gözlemlemek; c) Araç ve yük üzerindeki uyarı işaretlerinin, turuncu panoların, etiketlerin ADR standartlarına uygunluğunu kontrol etmek; d) Yukarıdaki şartlar veya diğer ADR ve düzenlemelere uyumsuzluk halinde taşımayı durdurmak; e) Mürettebatın ADR sertifikası, araç için taşıma izin belgesi, taşıma belgeleri ve özel talimatları kontrol etmek.</w:t>
      </w:r>
    </w:p>
    <w:p w14:paraId="3B77850F" w14:textId="77777777" w:rsidR="0036391C" w:rsidRPr="0036391C" w:rsidRDefault="0036391C" w:rsidP="005E7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11. Sürücünün Çalışma ve Dinlenme Sürelerine Uyumu ve Takograf Kullanımı</w:t>
      </w:r>
    </w:p>
    <w:p w14:paraId="733865F1" w14:textId="77777777" w:rsidR="0036391C" w:rsidRPr="0036391C" w:rsidRDefault="0036391C" w:rsidP="005E70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>Bu konudaki ihlaller ve sınıflandırmaları Ek N2’de belirtilmiştir.</w:t>
      </w:r>
    </w:p>
    <w:p w14:paraId="55ABB20E" w14:textId="77777777" w:rsidR="0036391C" w:rsidRPr="0036391C" w:rsidRDefault="0036391C" w:rsidP="005E70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Müfettiş aşağıdakileri kontrol eder: a) Günlük ve haftalık sürüş süresi, mola ve dinlenme süreleri; b) Önceki günlerin kayıt levhaları, sürücü kartı veya takograf belleğindeki </w:t>
      </w: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kayıtlar; c) Takografın AETR (Avrupa Anlaşması) ve diğer yönetmeliklere uygunluğu ve çalışır durumda olup olmadığı.</w:t>
      </w:r>
    </w:p>
    <w:p w14:paraId="36DAA551" w14:textId="77777777" w:rsidR="0036391C" w:rsidRPr="0036391C" w:rsidRDefault="0036391C" w:rsidP="005E70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>Denetim, ikametgah, yolculuk yönü veya takograf türüne göre ayrım yapılmadan gerçekleştirilir.</w:t>
      </w:r>
    </w:p>
    <w:p w14:paraId="7D04F348" w14:textId="77777777" w:rsidR="0036391C" w:rsidRPr="0036391C" w:rsidRDefault="0036391C" w:rsidP="005E70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>Analog takograf kullanılıyorsa: a) Güncel ve son 28 günün kayıt levhaları; b) Sürücü kartı (varsa); c) Elden yazılmış notlar ve yazıcı çıktıları kontrol edilir.</w:t>
      </w:r>
    </w:p>
    <w:p w14:paraId="41F60FB6" w14:textId="77777777" w:rsidR="0036391C" w:rsidRPr="0036391C" w:rsidRDefault="0036391C" w:rsidP="005E70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>Dijital veya akıllı takograf varsa: a) Sürücü kartı; b) Güncel ve son 28 günün yazıcı çıktıları ve el kayıtları; c) Aynı dönemde analog sistem kullanıldıysa onun kayıtları da incelenir.</w:t>
      </w:r>
    </w:p>
    <w:p w14:paraId="17C58B04" w14:textId="77777777" w:rsidR="0036391C" w:rsidRPr="0036391C" w:rsidRDefault="0036391C" w:rsidP="005E70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>Takograf arızalıysa veya yanlış çalışıyorsa, sürücü tarafından kayıt levhasına veya kartına manuel yazılan bilgiler, sürücünün kimliğini belirten (isim, ehliyet veya kart numarası) ve imzalanmış veriler incelenir.</w:t>
      </w:r>
    </w:p>
    <w:p w14:paraId="1072E063" w14:textId="77777777" w:rsidR="0036391C" w:rsidRPr="0036391C" w:rsidRDefault="0036391C" w:rsidP="005E70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>Sürücü izinli (hastalık, tatil vb.) olduğu süreleri kanıtlayan resmi belgeleri sunmalıdır.</w:t>
      </w:r>
    </w:p>
    <w:p w14:paraId="2216F7D4" w14:textId="77777777" w:rsidR="0036391C" w:rsidRPr="0036391C" w:rsidRDefault="0036391C" w:rsidP="005E70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91C">
        <w:rPr>
          <w:rFonts w:ascii="Times New Roman" w:eastAsia="Times New Roman" w:hAnsi="Times New Roman" w:cs="Times New Roman"/>
          <w:sz w:val="24"/>
          <w:szCs w:val="24"/>
          <w:lang w:eastAsia="tr-TR"/>
        </w:rPr>
        <w:t>Denetim takograf, sürücü kartı, kayıt levhası veya gerekirse diğer belgeler yoluyla yapılır.</w:t>
      </w:r>
    </w:p>
    <w:p w14:paraId="7AAF9EB1" w14:textId="77777777" w:rsidR="0036391C" w:rsidRDefault="0036391C" w:rsidP="005E708F">
      <w:pPr>
        <w:pStyle w:val="NormalWeb"/>
        <w:jc w:val="both"/>
      </w:pPr>
      <w:r>
        <w:rPr>
          <w:rStyle w:val="Strong"/>
        </w:rPr>
        <w:t>Madde 12. Taşıtın Teknik Uygunluğu</w:t>
      </w:r>
    </w:p>
    <w:p w14:paraId="3E67DD85" w14:textId="77777777" w:rsidR="0036391C" w:rsidRDefault="0036391C" w:rsidP="005E708F">
      <w:pPr>
        <w:pStyle w:val="NormalWeb"/>
        <w:numPr>
          <w:ilvl w:val="0"/>
          <w:numId w:val="12"/>
        </w:numPr>
        <w:jc w:val="both"/>
      </w:pPr>
      <w:r>
        <w:t>Teknik uygunlukla ilgili ihlaller ve sınıflandırmaları Ek N3’te belirtilmiştir.</w:t>
      </w:r>
    </w:p>
    <w:p w14:paraId="31A9FC7A" w14:textId="77777777" w:rsidR="0036391C" w:rsidRDefault="0036391C" w:rsidP="005E708F">
      <w:pPr>
        <w:pStyle w:val="NormalWeb"/>
        <w:numPr>
          <w:ilvl w:val="0"/>
          <w:numId w:val="12"/>
        </w:numPr>
        <w:jc w:val="both"/>
      </w:pPr>
      <w:r>
        <w:t>Denetim aşağıdaki temel unsurları kapsamalıdır: a) Taşıtın kimliği; b) Fren donanımı; c) Direksiyon sistemi; d) Görüş alanı; e) Farlar, yansıtıcılar ve elektrik sistemi; f) Dingiller, tekerlekler, lastikler ve süspansiyon; g) Şasi ve bileşenleri; h) Diğer donanımlar; i) Çevreye olası olumsuz etkiler; j) M2 ve M3 sınıfı taşıtlar için ek testler.</w:t>
      </w:r>
    </w:p>
    <w:p w14:paraId="6147A0E5" w14:textId="77777777" w:rsidR="0036391C" w:rsidRDefault="0036391C" w:rsidP="005E708F">
      <w:pPr>
        <w:pStyle w:val="NormalWeb"/>
        <w:numPr>
          <w:ilvl w:val="0"/>
          <w:numId w:val="12"/>
        </w:numPr>
        <w:jc w:val="both"/>
      </w:pPr>
      <w:r>
        <w:t>Görsel incelemelerde müfettiş gerekirse bileşenlere dokunabilir, ses seviyesini değerlendirebilir veya özel ekipman kullanmadan kontrol yapabilir.</w:t>
      </w:r>
    </w:p>
    <w:p w14:paraId="13F46376" w14:textId="77777777" w:rsidR="0036391C" w:rsidRDefault="0036391C" w:rsidP="005E708F">
      <w:pPr>
        <w:pStyle w:val="NormalWeb"/>
        <w:numPr>
          <w:ilvl w:val="0"/>
          <w:numId w:val="12"/>
        </w:numPr>
        <w:jc w:val="both"/>
      </w:pPr>
      <w:r>
        <w:t>Gerekirse müfettiş kriko veya çukur gibi ek ekipman kullanabilir.</w:t>
      </w:r>
    </w:p>
    <w:p w14:paraId="2198596C" w14:textId="77777777" w:rsidR="0036391C" w:rsidRDefault="0036391C" w:rsidP="005E708F">
      <w:pPr>
        <w:pStyle w:val="NormalWeb"/>
        <w:numPr>
          <w:ilvl w:val="0"/>
          <w:numId w:val="12"/>
        </w:numPr>
        <w:jc w:val="both"/>
      </w:pPr>
      <w:r>
        <w:t>Denetim, taşıtın parçalarını sökmeden, ulaşılabilir yöntemlerle yapılır.</w:t>
      </w:r>
    </w:p>
    <w:p w14:paraId="6CAB3682" w14:textId="77777777" w:rsidR="0036391C" w:rsidRDefault="0036391C" w:rsidP="005E708F">
      <w:pPr>
        <w:pStyle w:val="NormalWeb"/>
        <w:numPr>
          <w:ilvl w:val="0"/>
          <w:numId w:val="12"/>
        </w:numPr>
        <w:jc w:val="both"/>
      </w:pPr>
      <w:r>
        <w:t>Taşıtın yapısı N3 ekinde öngörülen yönteme izin vermiyorsa, yetkili kişi tarafından önerilen test yöntemleri uygulanır.</w:t>
      </w:r>
    </w:p>
    <w:p w14:paraId="7F5714DB" w14:textId="77777777" w:rsidR="0036391C" w:rsidRDefault="0036391C" w:rsidP="005E708F">
      <w:pPr>
        <w:pStyle w:val="NormalWeb"/>
        <w:numPr>
          <w:ilvl w:val="0"/>
          <w:numId w:val="12"/>
        </w:numPr>
        <w:jc w:val="both"/>
      </w:pPr>
      <w:r>
        <w:t>Eğer bir uygunsuzluk taşıtın tip onayı sırasında dikkate alınmamışsa, bu ihlal sayılmaz.</w:t>
      </w:r>
    </w:p>
    <w:p w14:paraId="4AC80AAC" w14:textId="77777777" w:rsidR="0036391C" w:rsidRDefault="0036391C" w:rsidP="005E708F">
      <w:pPr>
        <w:pStyle w:val="NormalWeb"/>
        <w:numPr>
          <w:ilvl w:val="0"/>
          <w:numId w:val="12"/>
        </w:numPr>
        <w:jc w:val="both"/>
      </w:pPr>
      <w:r>
        <w:t>Bu durumda, taşıt sahibinin üretici tarafından verilmiş uygunluk sertifikasını veya teknik belgeyi sunması gerekir.</w:t>
      </w:r>
    </w:p>
    <w:p w14:paraId="774E3EB9" w14:textId="77777777" w:rsidR="0036391C" w:rsidRDefault="0036391C" w:rsidP="005E708F">
      <w:pPr>
        <w:pStyle w:val="NormalWeb"/>
        <w:jc w:val="both"/>
      </w:pPr>
      <w:r>
        <w:rPr>
          <w:rStyle w:val="Strong"/>
        </w:rPr>
        <w:t>Madde 13. Yük Sabitleme Kurallarına Uyum</w:t>
      </w:r>
    </w:p>
    <w:p w14:paraId="0FC94209" w14:textId="77777777" w:rsidR="0036391C" w:rsidRDefault="0036391C" w:rsidP="005E708F">
      <w:pPr>
        <w:pStyle w:val="NormalWeb"/>
        <w:numPr>
          <w:ilvl w:val="0"/>
          <w:numId w:val="13"/>
        </w:numPr>
        <w:jc w:val="both"/>
      </w:pPr>
      <w:r>
        <w:t>Bu alandaki ihlaller ve sınıflandırmaları Ek N4’te belirtilmiştir.</w:t>
      </w:r>
    </w:p>
    <w:p w14:paraId="36F70C71" w14:textId="77777777" w:rsidR="0036391C" w:rsidRDefault="0036391C" w:rsidP="005E708F">
      <w:pPr>
        <w:pStyle w:val="NormalWeb"/>
        <w:numPr>
          <w:ilvl w:val="0"/>
          <w:numId w:val="13"/>
        </w:numPr>
        <w:jc w:val="both"/>
      </w:pPr>
      <w:r>
        <w:t>Yükün dağıtımı sırasında, dingil başına maksimum ve minimum yük sınırları göz önüne alınmalıdır.</w:t>
      </w:r>
    </w:p>
    <w:p w14:paraId="3EA5153B" w14:textId="77777777" w:rsidR="0036391C" w:rsidRDefault="0036391C" w:rsidP="005E708F">
      <w:pPr>
        <w:pStyle w:val="NormalWeb"/>
        <w:numPr>
          <w:ilvl w:val="0"/>
          <w:numId w:val="13"/>
        </w:numPr>
        <w:jc w:val="both"/>
      </w:pPr>
      <w:r>
        <w:t>Yük, taşıma alanı sınırlarının dışına taşmamalıdır.</w:t>
      </w:r>
    </w:p>
    <w:p w14:paraId="5E2C4B87" w14:textId="77777777" w:rsidR="0036391C" w:rsidRDefault="0036391C" w:rsidP="005E708F">
      <w:pPr>
        <w:pStyle w:val="NormalWeb"/>
        <w:numPr>
          <w:ilvl w:val="0"/>
          <w:numId w:val="13"/>
        </w:numPr>
        <w:jc w:val="both"/>
      </w:pPr>
      <w:r>
        <w:t>Yük sabitlemesinde taşıtın yapısal bileşenlerinin (ön, yan, arka duvarlar) dayanıklılığı dikkate alınmalıdır.</w:t>
      </w:r>
    </w:p>
    <w:p w14:paraId="645A64BD" w14:textId="77777777" w:rsidR="0036391C" w:rsidRDefault="0036391C" w:rsidP="005E708F">
      <w:pPr>
        <w:pStyle w:val="NormalWeb"/>
        <w:numPr>
          <w:ilvl w:val="0"/>
          <w:numId w:val="13"/>
        </w:numPr>
        <w:jc w:val="both"/>
      </w:pPr>
      <w:r>
        <w:t>Birden fazla sabitleme yöntemi bir arada kullanılabilir.</w:t>
      </w:r>
    </w:p>
    <w:p w14:paraId="2A2EA140" w14:textId="77777777" w:rsidR="0036391C" w:rsidRDefault="0036391C" w:rsidP="005E708F">
      <w:pPr>
        <w:pStyle w:val="NormalWeb"/>
        <w:jc w:val="both"/>
        <w:rPr>
          <w:rStyle w:val="Strong"/>
        </w:rPr>
      </w:pPr>
    </w:p>
    <w:p w14:paraId="6CB6D0BB" w14:textId="77777777" w:rsidR="0036391C" w:rsidRDefault="0036391C" w:rsidP="005E708F">
      <w:pPr>
        <w:pStyle w:val="NormalWeb"/>
        <w:jc w:val="both"/>
        <w:rPr>
          <w:rStyle w:val="Strong"/>
        </w:rPr>
      </w:pPr>
    </w:p>
    <w:p w14:paraId="7AD799AC" w14:textId="59ECCE65" w:rsidR="0036391C" w:rsidRDefault="0036391C" w:rsidP="005E708F">
      <w:pPr>
        <w:pStyle w:val="NormalWeb"/>
        <w:jc w:val="both"/>
      </w:pPr>
      <w:r>
        <w:rPr>
          <w:rStyle w:val="Strong"/>
        </w:rPr>
        <w:lastRenderedPageBreak/>
        <w:t>Madde 14. Uluslararası Taşımacılıkla İlgili Uygun İzin Belgeleri</w:t>
      </w:r>
    </w:p>
    <w:p w14:paraId="3C2F54B8" w14:textId="77777777" w:rsidR="0036391C" w:rsidRDefault="0036391C" w:rsidP="005E708F">
      <w:pPr>
        <w:pStyle w:val="NormalWeb"/>
        <w:numPr>
          <w:ilvl w:val="0"/>
          <w:numId w:val="14"/>
        </w:numPr>
        <w:jc w:val="both"/>
      </w:pPr>
      <w:r>
        <w:t>İhlaller ve sınıflandırmaları Ek N5’te belirtilmiştir.</w:t>
      </w:r>
    </w:p>
    <w:p w14:paraId="7ED1ECC8" w14:textId="77777777" w:rsidR="0036391C" w:rsidRDefault="0036391C" w:rsidP="005E708F">
      <w:pPr>
        <w:pStyle w:val="NormalWeb"/>
        <w:numPr>
          <w:ilvl w:val="0"/>
          <w:numId w:val="14"/>
        </w:numPr>
        <w:jc w:val="both"/>
      </w:pPr>
      <w:r>
        <w:t>Müfettiş şunları kontrol eder: a) Sürücünün yeterlilik belgesi; b) Taşıyıcının ilgili uluslararası taşıma izin belgelerine sahip olup olmadığı.</w:t>
      </w:r>
    </w:p>
    <w:p w14:paraId="5675C1F8" w14:textId="77777777" w:rsidR="0036391C" w:rsidRDefault="0036391C" w:rsidP="005E708F">
      <w:pPr>
        <w:pStyle w:val="NormalWeb"/>
        <w:numPr>
          <w:ilvl w:val="0"/>
          <w:numId w:val="14"/>
        </w:numPr>
        <w:jc w:val="both"/>
      </w:pPr>
      <w:r>
        <w:t>Bu kontroller yalnızca Gürcistan’da kayıtlı taşıyıcılar için geçerlidir.</w:t>
      </w:r>
    </w:p>
    <w:p w14:paraId="7E9F371C" w14:textId="77777777" w:rsidR="0036391C" w:rsidRDefault="0036391C" w:rsidP="005E708F">
      <w:pPr>
        <w:pStyle w:val="NormalWeb"/>
        <w:numPr>
          <w:ilvl w:val="0"/>
          <w:numId w:val="14"/>
        </w:numPr>
        <w:jc w:val="both"/>
      </w:pPr>
      <w:r>
        <w:t>Eğer taşıyıcı Madde N5/29’da belirtilen belgeleri fiziksel olarak sunamazsa, taşıma faaliyetleri gerekli belgeler sunulana kadar durdurulabilir.</w:t>
      </w:r>
    </w:p>
    <w:p w14:paraId="3D121C37" w14:textId="77777777" w:rsidR="0036391C" w:rsidRDefault="0036391C" w:rsidP="005E708F">
      <w:pPr>
        <w:pStyle w:val="NormalWeb"/>
        <w:jc w:val="both"/>
      </w:pPr>
      <w:r>
        <w:rPr>
          <w:rStyle w:val="Strong"/>
        </w:rPr>
        <w:t>Madde 15. Takograf ve Hız Sınırlayıcı Cihazların Kurulumu ve Kalibrasyonu</w:t>
      </w:r>
    </w:p>
    <w:p w14:paraId="7AD14B4F" w14:textId="77777777" w:rsidR="0036391C" w:rsidRDefault="0036391C" w:rsidP="005E708F">
      <w:pPr>
        <w:pStyle w:val="NormalWeb"/>
        <w:numPr>
          <w:ilvl w:val="0"/>
          <w:numId w:val="15"/>
        </w:numPr>
        <w:jc w:val="both"/>
      </w:pPr>
      <w:r>
        <w:t>Bu konudaki ihlaller ve sınıflandırmaları Ek N6’da belirtilmiştir.</w:t>
      </w:r>
    </w:p>
    <w:p w14:paraId="4A431407" w14:textId="77777777" w:rsidR="0036391C" w:rsidRDefault="0036391C" w:rsidP="005E708F">
      <w:pPr>
        <w:pStyle w:val="NormalWeb"/>
        <w:numPr>
          <w:ilvl w:val="0"/>
          <w:numId w:val="15"/>
        </w:numPr>
        <w:jc w:val="both"/>
      </w:pPr>
      <w:r>
        <w:t>Takograf denetiminde şunlara bakılır: a) Doğru çalışıp çalışmadığı; b) Tip onay etiketi; c) Montaj ve kalibrasyon etiketi; d) Mühürlerin sağlamlığı; e) Lastik çevresel ölçüm değerleri.</w:t>
      </w:r>
    </w:p>
    <w:p w14:paraId="0A6433FA" w14:textId="77777777" w:rsidR="0036391C" w:rsidRDefault="0036391C" w:rsidP="005E708F">
      <w:pPr>
        <w:pStyle w:val="NormalWeb"/>
        <w:numPr>
          <w:ilvl w:val="0"/>
          <w:numId w:val="15"/>
        </w:numPr>
        <w:jc w:val="both"/>
      </w:pPr>
      <w:r>
        <w:t>Hız sınırlayıcı cihaz için: a) Tip onay etiketi; b) Kurulum ve ayar bilgileri; c) Mühürlerin sağlamlığı; d) Lastik çevresel ölçüm değerleri.</w:t>
      </w:r>
    </w:p>
    <w:p w14:paraId="412AB2B8" w14:textId="77777777" w:rsidR="0036391C" w:rsidRDefault="0036391C" w:rsidP="005E708F">
      <w:pPr>
        <w:pStyle w:val="NormalWeb"/>
        <w:jc w:val="both"/>
      </w:pPr>
      <w:r>
        <w:rPr>
          <w:rStyle w:val="Strong"/>
        </w:rPr>
        <w:t>Madde 16. Bu Kurallarla Belirlenen Yükümlülüklerin İhlalinde Sorumluluk</w:t>
      </w:r>
    </w:p>
    <w:p w14:paraId="1E171FD4" w14:textId="77777777" w:rsidR="0036391C" w:rsidRDefault="0036391C" w:rsidP="005E708F">
      <w:pPr>
        <w:pStyle w:val="NormalWeb"/>
        <w:numPr>
          <w:ilvl w:val="0"/>
          <w:numId w:val="16"/>
        </w:numPr>
        <w:jc w:val="both"/>
      </w:pPr>
      <w:r>
        <w:t>Bu kuralların ihlali halinde uygulanacak sorumluluklar Gürcistan İdari Suçlar Kanunu ile düzenlenir.</w:t>
      </w:r>
    </w:p>
    <w:p w14:paraId="782CB977" w14:textId="77777777" w:rsidR="0036391C" w:rsidRDefault="0036391C" w:rsidP="005E708F">
      <w:pPr>
        <w:pStyle w:val="NormalWeb"/>
        <w:numPr>
          <w:ilvl w:val="0"/>
          <w:numId w:val="16"/>
        </w:numPr>
        <w:jc w:val="both"/>
      </w:pPr>
      <w:r>
        <w:t>Madde 7, paragraf 8’deki belgelerin sunulmaması ikinci derece ihlal sayılır; belgelerde sahtecilik şüphesi varsa bu kural geçerli değildir.</w:t>
      </w:r>
    </w:p>
    <w:p w14:paraId="6112712D" w14:textId="77777777" w:rsidR="00CE7684" w:rsidRDefault="00CE7684" w:rsidP="005E708F">
      <w:pPr>
        <w:jc w:val="both"/>
      </w:pPr>
      <w:bookmarkStart w:id="0" w:name="_GoBack"/>
      <w:bookmarkEnd w:id="0"/>
    </w:p>
    <w:sectPr w:rsidR="00CE7684" w:rsidSect="00A93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ED5"/>
    <w:multiLevelType w:val="multilevel"/>
    <w:tmpl w:val="48B6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33542"/>
    <w:multiLevelType w:val="multilevel"/>
    <w:tmpl w:val="E14C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A5BF1"/>
    <w:multiLevelType w:val="multilevel"/>
    <w:tmpl w:val="EA68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95E05"/>
    <w:multiLevelType w:val="multilevel"/>
    <w:tmpl w:val="5062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9234A"/>
    <w:multiLevelType w:val="multilevel"/>
    <w:tmpl w:val="F3C0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47119"/>
    <w:multiLevelType w:val="multilevel"/>
    <w:tmpl w:val="56DC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C2EDC"/>
    <w:multiLevelType w:val="multilevel"/>
    <w:tmpl w:val="F804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51419"/>
    <w:multiLevelType w:val="multilevel"/>
    <w:tmpl w:val="64E06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668C0"/>
    <w:multiLevelType w:val="multilevel"/>
    <w:tmpl w:val="9E36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F0E6E"/>
    <w:multiLevelType w:val="multilevel"/>
    <w:tmpl w:val="9A26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537ED9"/>
    <w:multiLevelType w:val="multilevel"/>
    <w:tmpl w:val="472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AC4F1A"/>
    <w:multiLevelType w:val="multilevel"/>
    <w:tmpl w:val="DA5E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41254B"/>
    <w:multiLevelType w:val="multilevel"/>
    <w:tmpl w:val="F15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7D5E5C"/>
    <w:multiLevelType w:val="multilevel"/>
    <w:tmpl w:val="6CC0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CB5F68"/>
    <w:multiLevelType w:val="multilevel"/>
    <w:tmpl w:val="D36C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DC7D60"/>
    <w:multiLevelType w:val="multilevel"/>
    <w:tmpl w:val="3166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5"/>
  </w:num>
  <w:num w:numId="6">
    <w:abstractNumId w:val="2"/>
  </w:num>
  <w:num w:numId="7">
    <w:abstractNumId w:val="4"/>
  </w:num>
  <w:num w:numId="8">
    <w:abstractNumId w:val="12"/>
  </w:num>
  <w:num w:numId="9">
    <w:abstractNumId w:val="13"/>
  </w:num>
  <w:num w:numId="10">
    <w:abstractNumId w:val="3"/>
  </w:num>
  <w:num w:numId="11">
    <w:abstractNumId w:val="9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C6"/>
    <w:rsid w:val="0036391C"/>
    <w:rsid w:val="005E708F"/>
    <w:rsid w:val="008C00C6"/>
    <w:rsid w:val="00A93B73"/>
    <w:rsid w:val="00C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2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3639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363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1791</Words>
  <Characters>10214</Characters>
  <Application>Microsoft Office Word</Application>
  <DocSecurity>0</DocSecurity>
  <Lines>85</Lines>
  <Paragraphs>23</Paragraphs>
  <ScaleCrop>false</ScaleCrop>
  <Company>T.C. Ticaret Bakanligi</Company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Tiflis-2</dc:creator>
  <cp:keywords/>
  <dc:description/>
  <cp:lastModifiedBy>EGE</cp:lastModifiedBy>
  <cp:revision>3</cp:revision>
  <dcterms:created xsi:type="dcterms:W3CDTF">2025-07-01T13:46:00Z</dcterms:created>
  <dcterms:modified xsi:type="dcterms:W3CDTF">2025-07-03T07:28:00Z</dcterms:modified>
</cp:coreProperties>
</file>